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E4E" w:rsidRDefault="007D3377">
      <w:pPr>
        <w:pBdr>
          <w:bottom w:val="single" w:sz="6" w:space="1" w:color="auto"/>
        </w:pBdr>
        <w:spacing w:after="120"/>
        <w:jc w:val="center"/>
        <w:rPr>
          <w:rFonts w:ascii="Arial" w:hAnsi="Arial" w:cs="Arial"/>
          <w:b/>
          <w:color w:val="0070C0"/>
          <w:sz w:val="28"/>
          <w:szCs w:val="28"/>
        </w:rPr>
      </w:pPr>
      <w:bookmarkStart w:id="0" w:name="_GoBack"/>
      <w:bookmarkEnd w:id="0"/>
      <w:r>
        <w:rPr>
          <w:rFonts w:ascii="Arial" w:hAnsi="Arial" w:cs="Arial"/>
          <w:b/>
          <w:color w:val="0070C0"/>
          <w:sz w:val="28"/>
          <w:szCs w:val="28"/>
        </w:rPr>
        <w:t xml:space="preserve">Stanovisko Rady pro výzkum, vývoj a inovace k závěrečným hodnocením programů OMEGA a BETA </w:t>
      </w:r>
    </w:p>
    <w:p w:rsidR="00201E4E" w:rsidRDefault="007D3377">
      <w:pPr>
        <w:spacing w:after="120"/>
        <w:ind w:left="3"/>
        <w:jc w:val="both"/>
        <w:rPr>
          <w:rFonts w:ascii="Arial" w:hAnsi="Arial" w:cs="Arial"/>
          <w:b/>
          <w:color w:val="0070C0"/>
        </w:rPr>
      </w:pPr>
      <w:r>
        <w:rPr>
          <w:rFonts w:ascii="Arial" w:hAnsi="Arial" w:cs="Arial"/>
          <w:b/>
          <w:color w:val="0070C0"/>
        </w:rPr>
        <w:t>Způsob a důvod předložení materiálu</w:t>
      </w:r>
    </w:p>
    <w:p w:rsidR="00201E4E" w:rsidRDefault="007D3377">
      <w:pPr>
        <w:pStyle w:val="Default"/>
        <w:spacing w:after="120"/>
        <w:ind w:left="709"/>
        <w:jc w:val="both"/>
        <w:rPr>
          <w:rFonts w:ascii="Arial" w:hAnsi="Arial" w:cs="Arial"/>
        </w:rPr>
      </w:pPr>
      <w:r>
        <w:rPr>
          <w:rFonts w:ascii="Arial" w:hAnsi="Arial" w:cs="Arial"/>
        </w:rPr>
        <w:t xml:space="preserve">Technologická agentura České republiky (dále jen „TAČR“) předložila dopisem ze dne 29. dubna 2020 Radě pro výzkum, vývoj a inovace (dále jen „Rada“) Závěrečné hodnocení programu aplikovaného výzkumu ve společenských a humanitních vědách OMEGA (dále jen „OMEGA“). Materiál byl zpracován v </w:t>
      </w:r>
      <w:r>
        <w:rPr>
          <w:rFonts w:ascii="Arial" w:eastAsiaTheme="minorHAnsi" w:hAnsi="Arial" w:cs="Arial"/>
          <w:lang w:eastAsia="en-US"/>
        </w:rPr>
        <w:t xml:space="preserve">návaznosti na závěry a doporučení k programu OMEGA, které vyplynuly z dokumentu schváleného usnesením vlády </w:t>
      </w:r>
      <w:r>
        <w:rPr>
          <w:rFonts w:ascii="Arial" w:hAnsi="Arial" w:cs="Arial"/>
        </w:rPr>
        <w:t xml:space="preserve">ze dne 22. července 2019 č. 526 o Hodnocení výsledků programů výzkumu, vývoje a inovací ukončených v roce 2017. </w:t>
      </w:r>
      <w:r>
        <w:rPr>
          <w:rFonts w:ascii="Arial" w:eastAsiaTheme="minorHAnsi" w:hAnsi="Arial" w:cs="Arial"/>
          <w:lang w:eastAsia="en-US"/>
        </w:rPr>
        <w:t xml:space="preserve">Hodnocení programu </w:t>
      </w:r>
      <w:r>
        <w:rPr>
          <w:rFonts w:ascii="Arial" w:hAnsi="Arial" w:cs="Arial"/>
        </w:rPr>
        <w:t>bylo provedeno výzkumnou organizací INESAN, s.r.o. a</w:t>
      </w:r>
      <w:r>
        <w:rPr>
          <w:rFonts w:ascii="Arial" w:eastAsiaTheme="minorHAnsi" w:hAnsi="Arial" w:cs="Arial"/>
          <w:lang w:eastAsia="en-US"/>
        </w:rPr>
        <w:t xml:space="preserve"> je přílohou č. 1 materiálu.</w:t>
      </w:r>
    </w:p>
    <w:p w:rsidR="00201E4E" w:rsidRDefault="007D3377">
      <w:pPr>
        <w:pStyle w:val="Default"/>
        <w:spacing w:after="120"/>
        <w:ind w:left="708"/>
        <w:jc w:val="both"/>
        <w:rPr>
          <w:rFonts w:ascii="Arial" w:eastAsiaTheme="minorHAnsi" w:hAnsi="Arial" w:cs="Arial"/>
          <w:lang w:eastAsia="en-US"/>
        </w:rPr>
      </w:pPr>
      <w:r>
        <w:rPr>
          <w:rFonts w:ascii="Arial" w:eastAsiaTheme="minorHAnsi" w:hAnsi="Arial" w:cs="Arial"/>
          <w:lang w:eastAsia="en-US"/>
        </w:rPr>
        <w:t xml:space="preserve">Zároveň TAČR zaslala Radě Zprávu ze závěrečného hodnocení programu </w:t>
      </w:r>
      <w:r>
        <w:rPr>
          <w:rFonts w:ascii="Arial" w:hAnsi="Arial" w:cs="Arial"/>
        </w:rPr>
        <w:t>veřejných zakázek ve výzkumu, experimentálním vývoji a inovacích pro potřeby státní správy BETA (dále jen „BETA“). Tato zpráva svým obsahem navazuje na materiál,</w:t>
      </w:r>
      <w:r>
        <w:rPr>
          <w:rFonts w:ascii="Arial" w:eastAsiaTheme="minorHAnsi" w:hAnsi="Arial" w:cs="Arial"/>
          <w:lang w:eastAsia="en-US"/>
        </w:rPr>
        <w:t xml:space="preserve"> který byl předložen vládě pro informaci 16. května 2018. Závěrečná zpráva hodnocení programu poskytovatelem je přílohou č. 2 materiálu.</w:t>
      </w:r>
    </w:p>
    <w:p w:rsidR="00201E4E" w:rsidRDefault="007D3377">
      <w:pPr>
        <w:spacing w:after="120"/>
        <w:ind w:left="6"/>
        <w:jc w:val="both"/>
        <w:rPr>
          <w:rFonts w:ascii="Arial" w:hAnsi="Arial" w:cs="Arial"/>
          <w:b/>
          <w:color w:val="0070C0"/>
        </w:rPr>
      </w:pPr>
      <w:r>
        <w:rPr>
          <w:rFonts w:ascii="Arial" w:hAnsi="Arial" w:cs="Arial"/>
          <w:b/>
          <w:color w:val="0070C0"/>
        </w:rPr>
        <w:t>K programu OMEGA</w:t>
      </w:r>
    </w:p>
    <w:p w:rsidR="00201E4E" w:rsidRDefault="007D3377">
      <w:pPr>
        <w:pStyle w:val="Odstavecseseznamem"/>
        <w:autoSpaceDE w:val="0"/>
        <w:autoSpaceDN w:val="0"/>
        <w:adjustRightInd w:val="0"/>
        <w:spacing w:after="120"/>
        <w:ind w:left="726"/>
        <w:contextualSpacing w:val="0"/>
        <w:jc w:val="both"/>
        <w:rPr>
          <w:rFonts w:ascii="Arial" w:eastAsiaTheme="minorHAnsi" w:hAnsi="Arial" w:cs="Arial"/>
          <w:color w:val="000000"/>
          <w:lang w:eastAsia="en-US"/>
        </w:rPr>
      </w:pPr>
      <w:r>
        <w:rPr>
          <w:rFonts w:ascii="Arial" w:eastAsiaTheme="minorHAnsi" w:hAnsi="Arial" w:cs="Arial"/>
          <w:color w:val="000000"/>
          <w:lang w:eastAsia="en-US"/>
        </w:rPr>
        <w:t>Program na podporu aplikovaného společenskovědního výzkumu a experimentálního vývoje OMEGA (dále jen „program OMEGA“) byl zaměřen na podporu projektů aplikovaného výzkumu a experimentálního vývoje, jejichž výsledky měly vysoký potenciál pro uplatnění v řadě oblastí celospolečenského života obyvatel ČR.</w:t>
      </w:r>
    </w:p>
    <w:p w:rsidR="00201E4E" w:rsidRDefault="007D3377">
      <w:pPr>
        <w:pStyle w:val="Odstavecseseznamem"/>
        <w:autoSpaceDE w:val="0"/>
        <w:autoSpaceDN w:val="0"/>
        <w:adjustRightInd w:val="0"/>
        <w:spacing w:after="120"/>
        <w:ind w:left="726"/>
        <w:contextualSpacing w:val="0"/>
        <w:jc w:val="both"/>
        <w:rPr>
          <w:rFonts w:ascii="Arial" w:eastAsiaTheme="minorHAnsi" w:hAnsi="Arial" w:cs="Arial"/>
          <w:color w:val="000000"/>
          <w:lang w:eastAsia="en-US"/>
        </w:rPr>
      </w:pPr>
      <w:r>
        <w:rPr>
          <w:rFonts w:ascii="Arial" w:eastAsiaTheme="minorHAnsi" w:hAnsi="Arial" w:cs="Arial"/>
          <w:color w:val="000000"/>
          <w:lang w:eastAsia="en-US"/>
        </w:rPr>
        <w:t>V Informačním systému výzkumu, vývoje a inovací (dále jen „VaVaI“) byl programu OMEGA přidělen kód „TD“.</w:t>
      </w:r>
    </w:p>
    <w:p w:rsidR="00201E4E" w:rsidRDefault="007D3377">
      <w:pPr>
        <w:pStyle w:val="Odstavecseseznamem"/>
        <w:autoSpaceDE w:val="0"/>
        <w:autoSpaceDN w:val="0"/>
        <w:adjustRightInd w:val="0"/>
        <w:spacing w:after="120"/>
        <w:ind w:left="726"/>
        <w:contextualSpacing w:val="0"/>
        <w:jc w:val="both"/>
        <w:rPr>
          <w:rFonts w:ascii="Arial" w:eastAsiaTheme="minorHAnsi" w:hAnsi="Arial" w:cs="Arial"/>
          <w:color w:val="000000"/>
          <w:lang w:eastAsia="en-US"/>
        </w:rPr>
      </w:pPr>
      <w:r>
        <w:rPr>
          <w:rFonts w:ascii="Arial" w:eastAsiaTheme="minorHAnsi" w:hAnsi="Arial" w:cs="Arial"/>
          <w:color w:val="000000"/>
          <w:lang w:eastAsia="en-US"/>
        </w:rPr>
        <w:t>Program OMEGA byl schválen usnesením vlády ze dne 19. ledna 2011 č. 56. Změna programu proběhla v souvislosti se zavedením nových předpisů Evropské unie v roce 2014.</w:t>
      </w:r>
    </w:p>
    <w:p w:rsidR="00201E4E" w:rsidRDefault="007D3377">
      <w:pPr>
        <w:pStyle w:val="Odstavecseseznamem"/>
        <w:autoSpaceDE w:val="0"/>
        <w:autoSpaceDN w:val="0"/>
        <w:adjustRightInd w:val="0"/>
        <w:spacing w:after="120"/>
        <w:ind w:left="726"/>
        <w:contextualSpacing w:val="0"/>
        <w:jc w:val="both"/>
        <w:rPr>
          <w:rFonts w:ascii="Arial" w:eastAsiaTheme="minorHAnsi" w:hAnsi="Arial" w:cs="Arial"/>
          <w:color w:val="000000"/>
          <w:lang w:eastAsia="en-US"/>
        </w:rPr>
      </w:pPr>
      <w:r>
        <w:rPr>
          <w:rFonts w:ascii="Arial" w:eastAsiaTheme="minorHAnsi" w:hAnsi="Arial" w:cs="Arial"/>
          <w:color w:val="000000"/>
          <w:lang w:eastAsia="en-US"/>
        </w:rPr>
        <w:t>Program byl ukončen v roce 2017 a jeho Závěrečné vyhodnocení poskytovatelem mělo být provedeno v roce 2019. TAČR v roce 2019 předala Radě sice podrobné, ale pouze průběžné vyhodnocení programu OMEGA a na jeho základě a v souladu s § 35 odst. 2 písm. d) zákona č. 130/2002 Sb., o podpoře výzkumu, experimentálního vývoje a inovací z veřejných prostředků a o změně některých souvisejících zákonů (zákon o podpoře výzkumu, experimentálního vývoje a inovací), ve znění pozdějších předpisů, a v souladu s dalšími dokumenty</w:t>
      </w:r>
      <w:r>
        <w:rPr>
          <w:rStyle w:val="Znakapoznpodarou"/>
          <w:rFonts w:ascii="Arial" w:eastAsiaTheme="minorHAnsi" w:hAnsi="Arial" w:cs="Arial"/>
          <w:color w:val="000000"/>
          <w:lang w:eastAsia="en-US"/>
        </w:rPr>
        <w:footnoteReference w:id="1"/>
      </w:r>
      <w:r>
        <w:rPr>
          <w:rFonts w:ascii="Arial" w:eastAsiaTheme="minorHAnsi" w:hAnsi="Arial" w:cs="Arial"/>
          <w:color w:val="000000"/>
          <w:lang w:eastAsia="en-US"/>
        </w:rPr>
        <w:t xml:space="preserve"> Rada zpracovala materiál Hodnocení výsledků programů výzkumu, vývoje a inovací ukončených v roce 2017.</w:t>
      </w:r>
    </w:p>
    <w:p w:rsidR="00201E4E" w:rsidRDefault="007D3377">
      <w:pPr>
        <w:pStyle w:val="Odstavecseseznamem"/>
        <w:spacing w:after="120"/>
        <w:ind w:left="726"/>
        <w:contextualSpacing w:val="0"/>
        <w:jc w:val="both"/>
        <w:rPr>
          <w:rFonts w:ascii="Arial" w:hAnsi="Arial" w:cs="Arial"/>
        </w:rPr>
      </w:pPr>
      <w:r>
        <w:rPr>
          <w:rFonts w:ascii="Arial" w:hAnsi="Arial" w:cs="Arial"/>
        </w:rPr>
        <w:lastRenderedPageBreak/>
        <w:t xml:space="preserve">Ze závěrečného hodnocení programu OMEGA Radou vyplynulo, že program byl i přes některé nedostatky v době realizace efektivní a byl realizován v souladu s nastavenými cíli. </w:t>
      </w:r>
    </w:p>
    <w:p w:rsidR="00201E4E" w:rsidRDefault="007D3377">
      <w:pPr>
        <w:spacing w:after="120"/>
        <w:ind w:left="6"/>
        <w:jc w:val="both"/>
        <w:rPr>
          <w:rFonts w:ascii="Arial" w:hAnsi="Arial" w:cs="Arial"/>
          <w:b/>
          <w:color w:val="0070C0"/>
        </w:rPr>
      </w:pPr>
      <w:r>
        <w:rPr>
          <w:rFonts w:ascii="Arial" w:hAnsi="Arial" w:cs="Arial"/>
          <w:b/>
          <w:color w:val="0070C0"/>
        </w:rPr>
        <w:t>K programu BETA</w:t>
      </w:r>
    </w:p>
    <w:p w:rsidR="00201E4E" w:rsidRDefault="007D3377">
      <w:pPr>
        <w:pStyle w:val="Text"/>
        <w:spacing w:line="240" w:lineRule="auto"/>
        <w:ind w:left="723"/>
        <w:rPr>
          <w:sz w:val="24"/>
        </w:rPr>
      </w:pPr>
      <w:r>
        <w:rPr>
          <w:sz w:val="24"/>
        </w:rPr>
        <w:t>Program veřejných zakázek ve výzkumu, experimentálním vývoji a inovacích pro potřeby státní správy BETA, který byl schválen vládou usnesením  ze dne 19. 1. 2011 č. 54, měl za cíl zdokonalení současných praxí, metodik, regulačních mechanismů, dozorových činností, stejně jako zlepšení služeb, informačních a řídících produktů a postupů, které povedou k vyšší inovativnosti, hospodárnosti a efektivní alokaci veřejných prostředků.</w:t>
      </w:r>
    </w:p>
    <w:p w:rsidR="00201E4E" w:rsidRDefault="007D3377">
      <w:pPr>
        <w:shd w:val="clear" w:color="auto" w:fill="FFFFFF"/>
        <w:spacing w:after="120"/>
        <w:ind w:left="708"/>
        <w:jc w:val="both"/>
        <w:rPr>
          <w:rFonts w:ascii="Arial" w:hAnsi="Arial" w:cs="Arial"/>
        </w:rPr>
      </w:pPr>
      <w:r>
        <w:rPr>
          <w:rFonts w:ascii="Arial" w:hAnsi="Arial" w:cs="Arial"/>
        </w:rPr>
        <w:t>Program se zaměřoval na podporu výzkumu, vývoje a inovací určených pro potřeby orgánů státní správy, a to zejména pro potřeby těch správních orgánů, které nejsou poskytovateli podpory výzkumu, vývoje a inovací. Z programu však nebyly vyloučeny ani ty správní orgány, které se mezi poskytovatele veřejné podpory ve výzkumu a vývoji řadí.</w:t>
      </w:r>
    </w:p>
    <w:p w:rsidR="00201E4E" w:rsidRDefault="007D3377">
      <w:pPr>
        <w:pStyle w:val="Default"/>
        <w:spacing w:after="120"/>
        <w:ind w:left="708"/>
        <w:jc w:val="both"/>
        <w:rPr>
          <w:rFonts w:ascii="Arial" w:eastAsiaTheme="minorHAnsi" w:hAnsi="Arial" w:cs="Arial"/>
          <w:lang w:eastAsia="en-US"/>
        </w:rPr>
      </w:pPr>
      <w:r>
        <w:rPr>
          <w:rFonts w:ascii="Arial" w:hAnsi="Arial" w:cs="Arial"/>
        </w:rPr>
        <w:t>Program BETA byl součástí Hodnocení výsledků programů výzkumu, vývoje a inovací ukončených v roce 2016. Z tohoto závěrečného hodnocení programu BETA vyplynula řada připomínek a doporučení Rady, na které TAČR reaguje v předložené zprávě o realizaci programu BETA.</w:t>
      </w:r>
    </w:p>
    <w:p w:rsidR="00201E4E" w:rsidRDefault="007D3377">
      <w:pPr>
        <w:spacing w:after="120"/>
        <w:ind w:left="6"/>
        <w:jc w:val="both"/>
        <w:rPr>
          <w:rFonts w:ascii="Arial" w:hAnsi="Arial" w:cs="Arial"/>
          <w:b/>
          <w:color w:val="0070C0"/>
        </w:rPr>
      </w:pPr>
      <w:r>
        <w:rPr>
          <w:rFonts w:ascii="Arial" w:hAnsi="Arial" w:cs="Arial"/>
          <w:b/>
          <w:color w:val="0070C0"/>
        </w:rPr>
        <w:t>Dodatek k Hodnocení výsledků programů výzkumu, vývoje a inovací ukončených v letech 2016 a 2017</w:t>
      </w:r>
    </w:p>
    <w:p w:rsidR="00201E4E" w:rsidRDefault="007D3377">
      <w:pPr>
        <w:pStyle w:val="Default"/>
        <w:spacing w:after="120"/>
        <w:ind w:left="708"/>
        <w:jc w:val="both"/>
        <w:rPr>
          <w:rFonts w:ascii="Arial" w:eastAsiaTheme="minorHAnsi" w:hAnsi="Arial" w:cs="Arial"/>
          <w:lang w:eastAsia="en-US"/>
        </w:rPr>
      </w:pPr>
      <w:r>
        <w:rPr>
          <w:rFonts w:ascii="Arial" w:eastAsiaTheme="minorHAnsi" w:hAnsi="Arial" w:cs="Arial"/>
          <w:lang w:eastAsia="en-US"/>
        </w:rPr>
        <w:t>Pro oba hodnocené tituly byla zpracována nově tzv. grafická část (viz příloha č. 3), ve které jsou detailní informace o čerpaných prostředcích, dosažených výsledcích, zapojených výzkumných organizacích a vědeckých pracovnících.</w:t>
      </w:r>
      <w:r>
        <w:t xml:space="preserve"> </w:t>
      </w:r>
      <w:r>
        <w:rPr>
          <w:rFonts w:ascii="Arial" w:eastAsiaTheme="minorHAnsi" w:hAnsi="Arial" w:cs="Arial"/>
          <w:lang w:eastAsia="en-US"/>
        </w:rPr>
        <w:t>Pro tuto grafickou část byly primárně využity údaje, které předali poskytovatelé do Informačního systému výzkumu, experimentálního vývoje a inovací (dále jen „IS VaVaI“), tj. do Centrální evidence projektů (CEP) a Rejstříku informací o výsledcích (RIV), a to podle § 31 zákona o podpoře výzkumu, experimentálního vývoje a inovací v termínu do 15. května 2020.</w:t>
      </w:r>
    </w:p>
    <w:p w:rsidR="00201E4E" w:rsidRDefault="007D3377">
      <w:pPr>
        <w:pStyle w:val="Default"/>
        <w:spacing w:after="120"/>
        <w:ind w:left="708"/>
        <w:jc w:val="both"/>
        <w:rPr>
          <w:rFonts w:ascii="Arial" w:eastAsiaTheme="minorHAnsi" w:hAnsi="Arial" w:cs="Arial"/>
          <w:i/>
          <w:lang w:eastAsia="en-US"/>
        </w:rPr>
      </w:pPr>
      <w:r>
        <w:rPr>
          <w:rFonts w:ascii="Arial" w:eastAsiaTheme="minorHAnsi" w:hAnsi="Arial" w:cs="Arial"/>
          <w:lang w:eastAsia="en-US"/>
        </w:rPr>
        <w:t xml:space="preserve">K oběma závěrečným hodnocením se vyjádřila Komise pro hodnocení výsledků (dále jen „KHV“), schválené znění je v příloze č. 4. KHV doporučuje schválit dokument „Závěrečné zprávy programů BETA a OMEGA“ s výhradou </w:t>
      </w:r>
      <w:r>
        <w:rPr>
          <w:rFonts w:ascii="Arial" w:hAnsi="Arial" w:cs="Arial"/>
          <w:sz w:val="22"/>
          <w:szCs w:val="22"/>
        </w:rPr>
        <w:t xml:space="preserve">ve znění: </w:t>
      </w:r>
      <w:r>
        <w:rPr>
          <w:rFonts w:ascii="Arial" w:eastAsiaTheme="minorHAnsi" w:hAnsi="Arial" w:cs="Arial"/>
          <w:i/>
          <w:lang w:eastAsia="en-US"/>
        </w:rPr>
        <w:t>„Doporučujeme ze zprávy vynechat kapitolu „EO 3.11: Do jaké míry dosažené výstupy a výsledky podpořených projektů odpovídají či neodpovídají vynaloženým zdrojům?“ (str. 63-68). Za krajně nevhodné považujeme indikátory typu „průměrná cena jednoho plánovaného výsledku“ (str. 66) anebo „průměrná výše celkových finančních prostředků / podpory / vlastních zdrojů připadajících na jeden plánovaný výsledek“ (Graf 33) a potažmo analytické vhledy typu „zatímco ostatní organizace (zejména z komerční sféry) vynaložily na jeden plánovaný výsledek 645 983 Kč z vlastních zdrojů, v případě VŠ / výzkumných organizací to bylo jen 501 978 Kč.“ Od počítání hodnoty podpory na jeden výsledek (anebo dosažený RIV bod) bylo upuštěno již v metodice hodnocení platné pro léta 2013 až 2015 a je to v příkrém rozporu s principy hodnocení podle Metodiky 2017+. Nedoporučujeme takové indikátory hodnocení znovu zavádět.“</w:t>
      </w:r>
    </w:p>
    <w:p w:rsidR="00201E4E" w:rsidRDefault="007D3377">
      <w:pPr>
        <w:pStyle w:val="Zkladntext2"/>
        <w:spacing w:after="120"/>
        <w:ind w:left="708"/>
        <w:jc w:val="both"/>
        <w:rPr>
          <w:rFonts w:ascii="Arial" w:hAnsi="Arial" w:cs="Arial"/>
          <w:szCs w:val="24"/>
        </w:rPr>
      </w:pPr>
      <w:r>
        <w:rPr>
          <w:rFonts w:ascii="Arial" w:hAnsi="Arial" w:cs="Arial"/>
          <w:szCs w:val="24"/>
        </w:rPr>
        <w:lastRenderedPageBreak/>
        <w:t xml:space="preserve">Předkládaný materiál a především zjištění vyplývající ze Závěrečných hodnocení lze využít zejména během přípravy </w:t>
      </w:r>
      <w:r w:rsidR="00D84BA3">
        <w:rPr>
          <w:rFonts w:ascii="Arial" w:hAnsi="Arial" w:cs="Arial"/>
          <w:szCs w:val="24"/>
        </w:rPr>
        <w:t>budoucích</w:t>
      </w:r>
      <w:r>
        <w:rPr>
          <w:rFonts w:ascii="Arial" w:hAnsi="Arial" w:cs="Arial"/>
          <w:szCs w:val="24"/>
        </w:rPr>
        <w:t xml:space="preserve"> programů výzkumu, vývoje a inovací administrovaných TAČR. Také bude možné na něj navázat při zpracovávání hodnocení dopadů dle Principů, neboť hodnocení dopadů má klíčový význam pro reálnou verifikaci úspěšnosti programů.</w:t>
      </w:r>
    </w:p>
    <w:p w:rsidR="00201E4E" w:rsidRDefault="00201E4E">
      <w:pPr>
        <w:pStyle w:val="Zkladntext2"/>
        <w:spacing w:after="120"/>
        <w:ind w:left="708"/>
        <w:jc w:val="both"/>
        <w:rPr>
          <w:rFonts w:ascii="Arial" w:hAnsi="Arial" w:cs="Arial"/>
          <w:szCs w:val="24"/>
        </w:rPr>
      </w:pPr>
    </w:p>
    <w:p w:rsidR="00201E4E" w:rsidRDefault="007D3377">
      <w:pPr>
        <w:pStyle w:val="Zkladntext2"/>
        <w:spacing w:after="120"/>
        <w:ind w:left="708"/>
        <w:jc w:val="both"/>
        <w:rPr>
          <w:rFonts w:ascii="Arial" w:hAnsi="Arial" w:cs="Arial"/>
          <w:b/>
          <w:color w:val="0070C0"/>
        </w:rPr>
      </w:pPr>
      <w:r>
        <w:rPr>
          <w:rFonts w:ascii="Arial" w:hAnsi="Arial" w:cs="Arial"/>
          <w:b/>
          <w:color w:val="0070C0"/>
        </w:rPr>
        <w:t>VII.</w:t>
      </w:r>
      <w:r>
        <w:rPr>
          <w:rFonts w:ascii="Arial" w:hAnsi="Arial" w:cs="Arial"/>
          <w:b/>
          <w:color w:val="0070C0"/>
        </w:rPr>
        <w:tab/>
        <w:t>Závěr</w:t>
      </w:r>
    </w:p>
    <w:p w:rsidR="00201E4E" w:rsidRDefault="007D3377">
      <w:pPr>
        <w:pStyle w:val="Zkladntext2"/>
        <w:keepNext/>
        <w:spacing w:after="120"/>
        <w:jc w:val="both"/>
        <w:rPr>
          <w:rFonts w:ascii="Arial" w:hAnsi="Arial" w:cs="Arial"/>
          <w:szCs w:val="24"/>
        </w:rPr>
      </w:pPr>
      <w:r>
        <w:rPr>
          <w:rFonts w:ascii="Arial" w:hAnsi="Arial" w:cs="Arial"/>
          <w:szCs w:val="24"/>
        </w:rPr>
        <w:t>Rada</w:t>
      </w:r>
    </w:p>
    <w:p w:rsidR="00201E4E" w:rsidRDefault="007D3377">
      <w:pPr>
        <w:pStyle w:val="Zkladntext2"/>
        <w:numPr>
          <w:ilvl w:val="0"/>
          <w:numId w:val="3"/>
        </w:numPr>
        <w:spacing w:after="120"/>
        <w:jc w:val="both"/>
        <w:rPr>
          <w:rFonts w:ascii="Arial" w:hAnsi="Arial" w:cs="Arial"/>
          <w:szCs w:val="24"/>
        </w:rPr>
      </w:pPr>
      <w:r>
        <w:rPr>
          <w:rFonts w:ascii="Arial" w:hAnsi="Arial" w:cs="Arial"/>
          <w:szCs w:val="24"/>
        </w:rPr>
        <w:t>schvaluje stanovisko k závěrečným hodnocením programů OMEGA a BETA,</w:t>
      </w:r>
    </w:p>
    <w:p w:rsidR="00201E4E" w:rsidRDefault="007D3377">
      <w:pPr>
        <w:pStyle w:val="Zkladntext2"/>
        <w:numPr>
          <w:ilvl w:val="0"/>
          <w:numId w:val="3"/>
        </w:numPr>
        <w:spacing w:after="120"/>
        <w:jc w:val="both"/>
        <w:rPr>
          <w:rFonts w:ascii="Arial" w:hAnsi="Arial" w:cs="Arial"/>
          <w:szCs w:val="24"/>
        </w:rPr>
      </w:pPr>
      <w:r>
        <w:rPr>
          <w:rFonts w:ascii="Arial" w:hAnsi="Arial" w:cs="Arial"/>
          <w:szCs w:val="24"/>
        </w:rPr>
        <w:t>ukládá sekretariátu zaslat stanovisko Rady Technologické agentuře ČR.</w:t>
      </w:r>
    </w:p>
    <w:p w:rsidR="00201E4E" w:rsidRDefault="00201E4E">
      <w:pPr>
        <w:suppressAutoHyphens/>
        <w:spacing w:after="120"/>
        <w:ind w:left="709"/>
        <w:jc w:val="both"/>
      </w:pPr>
    </w:p>
    <w:p w:rsidR="00201E4E" w:rsidRDefault="007D3377">
      <w:pPr>
        <w:spacing w:after="120"/>
        <w:ind w:left="3"/>
        <w:jc w:val="both"/>
        <w:rPr>
          <w:rFonts w:ascii="Arial" w:hAnsi="Arial" w:cs="Arial"/>
        </w:rPr>
      </w:pPr>
      <w:r>
        <w:rPr>
          <w:rFonts w:ascii="Arial" w:hAnsi="Arial" w:cs="Arial"/>
        </w:rPr>
        <w:t>Praha, 26. června 2020</w:t>
      </w:r>
    </w:p>
    <w:sectPr w:rsidR="00201E4E">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B2A" w:rsidRDefault="00755B2A">
      <w:r>
        <w:separator/>
      </w:r>
    </w:p>
  </w:endnote>
  <w:endnote w:type="continuationSeparator" w:id="0">
    <w:p w:rsidR="00755B2A" w:rsidRDefault="0075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IDFont+F8">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E4E" w:rsidRDefault="007D3377">
    <w:pPr>
      <w:spacing w:before="120" w:after="120"/>
      <w:jc w:val="both"/>
      <w:rPr>
        <w:rFonts w:ascii="Arial" w:hAnsi="Arial" w:cs="Arial"/>
        <w:sz w:val="18"/>
        <w:szCs w:val="18"/>
      </w:rPr>
    </w:pPr>
    <w:r>
      <w:rPr>
        <w:rFonts w:ascii="Arial" w:hAnsi="Arial" w:cs="Arial"/>
        <w:sz w:val="18"/>
        <w:szCs w:val="18"/>
      </w:rPr>
      <w:t>Stanovisko Rady pro výzkum, vývoj a inovace k závěrečným hodnocením programů OMEGA a BETA</w:t>
    </w:r>
  </w:p>
  <w:p w:rsidR="00201E4E" w:rsidRDefault="00755B2A">
    <w:pPr>
      <w:spacing w:before="120" w:after="120"/>
      <w:jc w:val="right"/>
      <w:rPr>
        <w:rFonts w:ascii="Arial" w:hAnsi="Arial" w:cs="Arial"/>
        <w:sz w:val="18"/>
        <w:szCs w:val="18"/>
      </w:rPr>
    </w:pPr>
    <w:sdt>
      <w:sdtPr>
        <w:rPr>
          <w:rFonts w:ascii="Arial" w:hAnsi="Arial" w:cs="Arial"/>
          <w:sz w:val="18"/>
          <w:szCs w:val="18"/>
        </w:rPr>
        <w:id w:val="1547331835"/>
      </w:sdtPr>
      <w:sdtEndPr/>
      <w:sdtContent>
        <w:r w:rsidR="007D3377">
          <w:rPr>
            <w:rFonts w:ascii="Arial" w:hAnsi="Arial" w:cs="Arial"/>
            <w:sz w:val="18"/>
            <w:szCs w:val="18"/>
          </w:rPr>
          <w:fldChar w:fldCharType="begin"/>
        </w:r>
        <w:r w:rsidR="007D3377">
          <w:rPr>
            <w:rFonts w:ascii="Arial" w:hAnsi="Arial" w:cs="Arial"/>
            <w:sz w:val="18"/>
            <w:szCs w:val="18"/>
          </w:rPr>
          <w:instrText>PAGE   \* MERGEFORMAT</w:instrText>
        </w:r>
        <w:r w:rsidR="007D3377">
          <w:rPr>
            <w:rFonts w:ascii="Arial" w:hAnsi="Arial" w:cs="Arial"/>
            <w:sz w:val="18"/>
            <w:szCs w:val="18"/>
          </w:rPr>
          <w:fldChar w:fldCharType="separate"/>
        </w:r>
        <w:r w:rsidR="009934BA">
          <w:rPr>
            <w:rFonts w:ascii="Arial" w:hAnsi="Arial" w:cs="Arial"/>
            <w:noProof/>
            <w:sz w:val="18"/>
            <w:szCs w:val="18"/>
          </w:rPr>
          <w:t>2</w:t>
        </w:r>
        <w:r w:rsidR="007D3377">
          <w:rPr>
            <w:rFonts w:ascii="Arial" w:hAnsi="Arial" w:cs="Arial"/>
            <w:sz w:val="18"/>
            <w:szCs w:val="18"/>
          </w:rPr>
          <w:fldChar w:fldCharType="end"/>
        </w:r>
        <w:r w:rsidR="007D3377">
          <w:rPr>
            <w:rFonts w:ascii="Arial" w:hAnsi="Arial" w:cs="Arial"/>
            <w:sz w:val="18"/>
            <w:szCs w:val="18"/>
          </w:rPr>
          <w:t xml:space="preserve"> / </w:t>
        </w:r>
        <w:r w:rsidR="007D3377">
          <w:rPr>
            <w:rFonts w:ascii="Arial" w:hAnsi="Arial" w:cs="Arial"/>
            <w:sz w:val="18"/>
            <w:szCs w:val="18"/>
          </w:rPr>
          <w:fldChar w:fldCharType="begin"/>
        </w:r>
        <w:r w:rsidR="007D3377">
          <w:rPr>
            <w:rFonts w:ascii="Arial" w:hAnsi="Arial" w:cs="Arial"/>
            <w:sz w:val="18"/>
            <w:szCs w:val="18"/>
          </w:rPr>
          <w:instrText xml:space="preserve"> NUMPAGES   \* MERGEFORMAT </w:instrText>
        </w:r>
        <w:r w:rsidR="007D3377">
          <w:rPr>
            <w:rFonts w:ascii="Arial" w:hAnsi="Arial" w:cs="Arial"/>
            <w:sz w:val="18"/>
            <w:szCs w:val="18"/>
          </w:rPr>
          <w:fldChar w:fldCharType="separate"/>
        </w:r>
        <w:r w:rsidR="009934BA">
          <w:rPr>
            <w:rFonts w:ascii="Arial" w:hAnsi="Arial" w:cs="Arial"/>
            <w:noProof/>
            <w:sz w:val="18"/>
            <w:szCs w:val="18"/>
          </w:rPr>
          <w:t>3</w:t>
        </w:r>
        <w:r w:rsidR="007D3377">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E4E" w:rsidRDefault="007D3377">
    <w:pPr>
      <w:spacing w:before="120" w:after="120"/>
      <w:jc w:val="both"/>
      <w:rPr>
        <w:rFonts w:ascii="Arial" w:hAnsi="Arial" w:cs="Arial"/>
        <w:sz w:val="18"/>
        <w:szCs w:val="18"/>
      </w:rPr>
    </w:pPr>
    <w:r>
      <w:rPr>
        <w:rFonts w:ascii="Arial" w:hAnsi="Arial" w:cs="Arial"/>
        <w:sz w:val="18"/>
        <w:szCs w:val="18"/>
      </w:rPr>
      <w:t>Stanovisko Rady pro výzkum, vývoj a inovace k závěrečným hodnocením programů OMEGA a BETA</w:t>
    </w:r>
  </w:p>
  <w:p w:rsidR="00201E4E" w:rsidRDefault="00755B2A">
    <w:pPr>
      <w:pStyle w:val="Zpat"/>
      <w:jc w:val="right"/>
      <w:rPr>
        <w:rFonts w:ascii="Arial" w:hAnsi="Arial" w:cs="Arial"/>
        <w:sz w:val="18"/>
        <w:szCs w:val="18"/>
      </w:rPr>
    </w:pPr>
    <w:sdt>
      <w:sdtPr>
        <w:rPr>
          <w:rFonts w:ascii="Arial" w:hAnsi="Arial" w:cs="Arial"/>
          <w:sz w:val="18"/>
          <w:szCs w:val="18"/>
        </w:rPr>
        <w:id w:val="-2027467776"/>
      </w:sdtPr>
      <w:sdtEndPr/>
      <w:sdtContent>
        <w:r w:rsidR="007D3377">
          <w:rPr>
            <w:rFonts w:ascii="Arial" w:hAnsi="Arial" w:cs="Arial"/>
            <w:sz w:val="18"/>
            <w:szCs w:val="18"/>
          </w:rPr>
          <w:fldChar w:fldCharType="begin"/>
        </w:r>
        <w:r w:rsidR="007D3377">
          <w:rPr>
            <w:rFonts w:ascii="Arial" w:hAnsi="Arial" w:cs="Arial"/>
            <w:sz w:val="18"/>
            <w:szCs w:val="18"/>
          </w:rPr>
          <w:instrText>PAGE   \* MERGEFORMAT</w:instrText>
        </w:r>
        <w:r w:rsidR="007D3377">
          <w:rPr>
            <w:rFonts w:ascii="Arial" w:hAnsi="Arial" w:cs="Arial"/>
            <w:sz w:val="18"/>
            <w:szCs w:val="18"/>
          </w:rPr>
          <w:fldChar w:fldCharType="separate"/>
        </w:r>
        <w:r w:rsidR="009934BA">
          <w:rPr>
            <w:rFonts w:ascii="Arial" w:hAnsi="Arial" w:cs="Arial"/>
            <w:noProof/>
            <w:sz w:val="18"/>
            <w:szCs w:val="18"/>
          </w:rPr>
          <w:t>1</w:t>
        </w:r>
        <w:r w:rsidR="007D3377">
          <w:rPr>
            <w:rFonts w:ascii="Arial" w:hAnsi="Arial" w:cs="Arial"/>
            <w:sz w:val="18"/>
            <w:szCs w:val="18"/>
          </w:rPr>
          <w:fldChar w:fldCharType="end"/>
        </w:r>
        <w:r w:rsidR="007D3377">
          <w:rPr>
            <w:rFonts w:ascii="Arial" w:hAnsi="Arial" w:cs="Arial"/>
            <w:sz w:val="18"/>
            <w:szCs w:val="18"/>
          </w:rPr>
          <w:t xml:space="preserve"> / </w:t>
        </w:r>
        <w:r w:rsidR="007D3377">
          <w:rPr>
            <w:rFonts w:ascii="Arial" w:hAnsi="Arial" w:cs="Arial"/>
            <w:sz w:val="18"/>
            <w:szCs w:val="18"/>
          </w:rPr>
          <w:fldChar w:fldCharType="begin"/>
        </w:r>
        <w:r w:rsidR="007D3377">
          <w:rPr>
            <w:rFonts w:ascii="Arial" w:hAnsi="Arial" w:cs="Arial"/>
            <w:sz w:val="18"/>
            <w:szCs w:val="18"/>
          </w:rPr>
          <w:instrText xml:space="preserve"> NUMPAGES   \* MERGEFORMAT </w:instrText>
        </w:r>
        <w:r w:rsidR="007D3377">
          <w:rPr>
            <w:rFonts w:ascii="Arial" w:hAnsi="Arial" w:cs="Arial"/>
            <w:sz w:val="18"/>
            <w:szCs w:val="18"/>
          </w:rPr>
          <w:fldChar w:fldCharType="separate"/>
        </w:r>
        <w:r w:rsidR="009934BA">
          <w:rPr>
            <w:rFonts w:ascii="Arial" w:hAnsi="Arial" w:cs="Arial"/>
            <w:noProof/>
            <w:sz w:val="18"/>
            <w:szCs w:val="18"/>
          </w:rPr>
          <w:t>3</w:t>
        </w:r>
        <w:r w:rsidR="007D3377">
          <w:rPr>
            <w:rFonts w:ascii="Arial" w:hAnsi="Arial" w:cs="Arial"/>
            <w:sz w:val="18"/>
            <w:szCs w:val="1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B2A" w:rsidRDefault="00755B2A">
      <w:r>
        <w:separator/>
      </w:r>
    </w:p>
  </w:footnote>
  <w:footnote w:type="continuationSeparator" w:id="0">
    <w:p w:rsidR="00755B2A" w:rsidRDefault="00755B2A">
      <w:r>
        <w:continuationSeparator/>
      </w:r>
    </w:p>
  </w:footnote>
  <w:footnote w:id="1">
    <w:p w:rsidR="00201E4E" w:rsidRDefault="007D3377">
      <w:pPr>
        <w:pStyle w:val="Odstavecseseznamem"/>
        <w:autoSpaceDE w:val="0"/>
        <w:autoSpaceDN w:val="0"/>
        <w:adjustRightInd w:val="0"/>
        <w:spacing w:after="120"/>
        <w:ind w:left="726"/>
        <w:contextualSpacing w:val="0"/>
        <w:jc w:val="both"/>
      </w:pPr>
      <w:r>
        <w:rPr>
          <w:rStyle w:val="Znakapoznpodarou"/>
          <w:rFonts w:ascii="Arial" w:hAnsi="Arial" w:cs="Arial"/>
          <w:sz w:val="18"/>
          <w:szCs w:val="18"/>
        </w:rPr>
        <w:footnoteRef/>
      </w:r>
      <w:r>
        <w:rPr>
          <w:rFonts w:ascii="Arial" w:eastAsiaTheme="minorHAnsi" w:hAnsi="Arial" w:cs="Arial"/>
          <w:color w:val="000000"/>
          <w:sz w:val="18"/>
          <w:szCs w:val="18"/>
          <w:lang w:eastAsia="en-US"/>
        </w:rPr>
        <w:t xml:space="preserve"> Např. Metodikou hodnocení výzkumných organizací a hodnocení programů účelové podpory výzkumu, vývoje a inovací (dále jen „Metodika M17+“), Základními principy přípravy a hodnocení programů a skupin grantových projektů výzkumu, vývoje a inovací. Do Hodnocení byly rovněž aplikovány údaje, které poskytovatelé účelové podpory předali do informačního systému výzkumu, experimentálního vývoje a inovací (dále jen „IS VaVaI“), tj. do Centrální evidence projektů (dále jen „CEP“) a Rejstříku informací o výsledcích (dále jen „RIV“),</w:t>
      </w:r>
      <w:r>
        <w:rPr>
          <w:rFonts w:ascii="Arial" w:eastAsia="CIDFont+F8" w:hAnsi="Arial" w:cs="Arial"/>
          <w:color w:val="000000"/>
          <w:sz w:val="18"/>
          <w:szCs w:val="18"/>
          <w:lang w:eastAsia="en-US"/>
        </w:rPr>
        <w:t xml:space="preserve"> </w:t>
      </w:r>
      <w:r>
        <w:rPr>
          <w:rFonts w:ascii="Arial" w:eastAsiaTheme="minorHAnsi" w:hAnsi="Arial" w:cs="Arial"/>
          <w:color w:val="000000"/>
          <w:sz w:val="18"/>
          <w:szCs w:val="18"/>
          <w:lang w:eastAsia="en-US"/>
        </w:rPr>
        <w:t>rovněž bylo v souladu s Principy posouzeno, zda byly hodnocené programy v souladu s dokumenty Implementace Národních priorit orientovaného výzkumu, experimentálního vývoje a inovací.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201E4E">
      <w:trPr>
        <w:trHeight w:val="686"/>
      </w:trPr>
      <w:tc>
        <w:tcPr>
          <w:tcW w:w="8188" w:type="dxa"/>
          <w:tcBorders>
            <w:top w:val="nil"/>
            <w:left w:val="nil"/>
            <w:bottom w:val="nil"/>
            <w:right w:val="nil"/>
          </w:tcBorders>
          <w:vAlign w:val="center"/>
        </w:tcPr>
        <w:p w:rsidR="00201E4E" w:rsidRDefault="007D3377">
          <w:pPr>
            <w:pStyle w:val="Zhlav"/>
            <w:rPr>
              <w:rFonts w:ascii="Arial" w:hAnsi="Arial" w:cs="Arial"/>
              <w:b/>
              <w:color w:val="0B38B5"/>
            </w:rPr>
          </w:pPr>
          <w:r>
            <w:rPr>
              <w:rFonts w:ascii="Arial" w:hAnsi="Arial" w:cs="Arial"/>
              <w:b/>
              <w:noProof/>
              <w:color w:val="0B38B5"/>
            </w:rPr>
            <w:drawing>
              <wp:anchor distT="0" distB="0" distL="114300" distR="114300" simplePos="0" relativeHeight="251663360" behindDoc="0" locked="0" layoutInCell="1" allowOverlap="1">
                <wp:simplePos x="0" y="0"/>
                <wp:positionH relativeFrom="column">
                  <wp:posOffset>635</wp:posOffset>
                </wp:positionH>
                <wp:positionV relativeFrom="paragraph">
                  <wp:posOffset>-68580</wp:posOffset>
                </wp:positionV>
                <wp:extent cx="915035" cy="277495"/>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anchor>
            </w:drawing>
          </w:r>
          <w:r>
            <w:rPr>
              <w:rFonts w:ascii="Arial" w:hAnsi="Arial" w:cs="Arial"/>
              <w:b/>
            </w:rPr>
            <w:t xml:space="preserve">                       Rada pro výzkum, vývoj a inovace</w:t>
          </w:r>
        </w:p>
      </w:tc>
    </w:tr>
  </w:tbl>
  <w:p w:rsidR="00201E4E" w:rsidRDefault="00201E4E">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01E4E">
      <w:trPr>
        <w:trHeight w:val="686"/>
      </w:trPr>
      <w:tc>
        <w:tcPr>
          <w:tcW w:w="8188" w:type="dxa"/>
          <w:tcBorders>
            <w:top w:val="nil"/>
            <w:left w:val="nil"/>
            <w:bottom w:val="nil"/>
            <w:right w:val="single" w:sz="6" w:space="0" w:color="auto"/>
          </w:tcBorders>
          <w:vAlign w:val="center"/>
        </w:tcPr>
        <w:p w:rsidR="00201E4E" w:rsidRDefault="007D3377">
          <w:pPr>
            <w:pStyle w:val="Zhlav"/>
            <w:rPr>
              <w:rFonts w:ascii="Arial" w:hAnsi="Arial" w:cs="Arial"/>
              <w:b/>
              <w:color w:val="0B38B5"/>
            </w:rPr>
          </w:pPr>
          <w:r>
            <w:rPr>
              <w:rFonts w:ascii="Arial" w:hAnsi="Arial" w:cs="Arial"/>
              <w:b/>
              <w:noProof/>
              <w:color w:val="0B38B5"/>
            </w:rPr>
            <w:drawing>
              <wp:anchor distT="0" distB="0" distL="114300" distR="114300" simplePos="0" relativeHeight="251659264" behindDoc="0" locked="0" layoutInCell="1" allowOverlap="1">
                <wp:simplePos x="0" y="0"/>
                <wp:positionH relativeFrom="column">
                  <wp:posOffset>635</wp:posOffset>
                </wp:positionH>
                <wp:positionV relativeFrom="paragraph">
                  <wp:posOffset>-68580</wp:posOffset>
                </wp:positionV>
                <wp:extent cx="915035" cy="277495"/>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anchor>
            </w:drawing>
          </w:r>
          <w:r>
            <w:rPr>
              <w:rFonts w:ascii="Arial" w:hAnsi="Arial" w:cs="Arial"/>
              <w:b/>
            </w:rPr>
            <w:t xml:space="preserve">                       Rada pro výzkum, vývoj a inovace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01E4E" w:rsidRDefault="007D3377">
          <w:pPr>
            <w:pStyle w:val="Zhlav"/>
            <w:jc w:val="center"/>
            <w:rPr>
              <w:rFonts w:ascii="Arial" w:hAnsi="Arial" w:cs="Arial"/>
              <w:b/>
              <w:color w:val="0070C0"/>
              <w:sz w:val="28"/>
              <w:szCs w:val="28"/>
            </w:rPr>
          </w:pPr>
          <w:r>
            <w:rPr>
              <w:rFonts w:ascii="Arial" w:hAnsi="Arial" w:cs="Arial"/>
              <w:b/>
              <w:color w:val="0070C0"/>
              <w:sz w:val="28"/>
              <w:szCs w:val="28"/>
            </w:rPr>
            <w:t>358/A10</w:t>
          </w:r>
        </w:p>
      </w:tc>
    </w:tr>
  </w:tbl>
  <w:p w:rsidR="00201E4E" w:rsidRDefault="00201E4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95068"/>
    <w:multiLevelType w:val="multilevel"/>
    <w:tmpl w:val="0F695068"/>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
    <w:nsid w:val="3C430C90"/>
    <w:multiLevelType w:val="multilevel"/>
    <w:tmpl w:val="3C430C90"/>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51F26F75"/>
    <w:multiLevelType w:val="multilevel"/>
    <w:tmpl w:val="51F26F75"/>
    <w:lvl w:ilvl="0">
      <w:start w:val="1"/>
      <w:numFmt w:val="bullet"/>
      <w:pStyle w:val="Bullet1"/>
      <w:lvlText w:val=""/>
      <w:lvlJc w:val="left"/>
      <w:pPr>
        <w:tabs>
          <w:tab w:val="left" w:pos="567"/>
        </w:tabs>
        <w:ind w:left="567" w:hanging="397"/>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1"/>
    <w:lvlOverride w:ilvl="0">
      <w:lvl w:ilvl="0" w:tentative="1">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Override>
    <w:lvlOverride w:ilvl="1">
      <w:lvl w:ilvl="1" w:tentative="1">
        <w:start w:val="1"/>
        <w:numFmt w:val="decimal"/>
        <w:lvlText w:val="%2"/>
        <w:lvlJc w:val="left"/>
        <w:pPr>
          <w:ind w:left="432" w:hanging="432"/>
        </w:pPr>
        <w:rPr>
          <w:rFonts w:ascii="Arial" w:hAnsi="Arial" w:hint="default"/>
          <w:sz w:val="22"/>
        </w:rPr>
      </w:lvl>
    </w:lvlOverride>
    <w:lvlOverride w:ilvl="2">
      <w:lvl w:ilvl="2" w:tentative="1">
        <w:start w:val="1"/>
        <w:numFmt w:val="lowerLetter"/>
        <w:pStyle w:val="Styla"/>
        <w:lvlText w:val="%3)"/>
        <w:lvlJc w:val="left"/>
        <w:pPr>
          <w:ind w:left="504" w:hanging="504"/>
        </w:pPr>
        <w:rPr>
          <w:rFonts w:hint="default"/>
        </w:rPr>
      </w:lvl>
    </w:lvlOverride>
    <w:lvlOverride w:ilvl="3">
      <w:lvl w:ilvl="3" w:tentative="1">
        <w:start w:val="1"/>
        <w:numFmt w:val="lowerLetter"/>
        <w:pStyle w:val="Stylaa"/>
        <w:lvlText w:val="%3%4)"/>
        <w:lvlJc w:val="left"/>
        <w:pPr>
          <w:ind w:left="648" w:hanging="648"/>
        </w:pPr>
        <w:rPr>
          <w:rFonts w:hint="default"/>
        </w:rPr>
      </w:lvl>
    </w:lvlOverride>
    <w:lvlOverride w:ilvl="4">
      <w:lvl w:ilvl="4" w:tentative="1">
        <w:start w:val="1"/>
        <w:numFmt w:val="decimal"/>
        <w:lvlText w:val="%1.%2.%3.%4.%5."/>
        <w:lvlJc w:val="left"/>
        <w:pPr>
          <w:ind w:left="2232" w:hanging="792"/>
        </w:pPr>
        <w:rPr>
          <w:rFonts w:hint="default"/>
        </w:rPr>
      </w:lvl>
    </w:lvlOverride>
    <w:lvlOverride w:ilvl="5">
      <w:lvl w:ilvl="5" w:tentative="1">
        <w:start w:val="1"/>
        <w:numFmt w:val="decimal"/>
        <w:lvlText w:val="%1.%2.%3.%4.%5.%6."/>
        <w:lvlJc w:val="left"/>
        <w:pPr>
          <w:ind w:left="2736" w:hanging="936"/>
        </w:pPr>
        <w:rPr>
          <w:rFonts w:hint="default"/>
        </w:rPr>
      </w:lvl>
    </w:lvlOverride>
    <w:lvlOverride w:ilvl="6">
      <w:lvl w:ilvl="6" w:tentative="1">
        <w:start w:val="1"/>
        <w:numFmt w:val="decimal"/>
        <w:lvlText w:val="%1.%2.%3.%4.%5.%6.%7."/>
        <w:lvlJc w:val="left"/>
        <w:pPr>
          <w:ind w:left="3240" w:hanging="1080"/>
        </w:pPr>
        <w:rPr>
          <w:rFonts w:hint="default"/>
        </w:rPr>
      </w:lvl>
    </w:lvlOverride>
    <w:lvlOverride w:ilvl="7">
      <w:lvl w:ilvl="7" w:tentative="1">
        <w:start w:val="1"/>
        <w:numFmt w:val="decimal"/>
        <w:lvlText w:val="%1.%2.%3.%4.%5.%6.%7.%8."/>
        <w:lvlJc w:val="left"/>
        <w:pPr>
          <w:ind w:left="3744" w:hanging="1224"/>
        </w:pPr>
        <w:rPr>
          <w:rFonts w:hint="default"/>
        </w:rPr>
      </w:lvl>
    </w:lvlOverride>
    <w:lvlOverride w:ilvl="8">
      <w:lvl w:ilvl="8" w:tentative="1">
        <w:start w:val="1"/>
        <w:numFmt w:val="decimal"/>
        <w:lvlText w:val="%1.%2.%3.%4.%5.%6.%7.%8.%9."/>
        <w:lvlJc w:val="left"/>
        <w:pPr>
          <w:ind w:left="4320" w:hanging="1440"/>
        </w:pPr>
        <w:rPr>
          <w:rFonts w:hint="default"/>
        </w:rPr>
      </w:lvl>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4D79"/>
    <w:rsid w:val="00005EDE"/>
    <w:rsid w:val="00010B56"/>
    <w:rsid w:val="00012560"/>
    <w:rsid w:val="00016490"/>
    <w:rsid w:val="000204F5"/>
    <w:rsid w:val="000226BE"/>
    <w:rsid w:val="000227AD"/>
    <w:rsid w:val="000236DF"/>
    <w:rsid w:val="0002736C"/>
    <w:rsid w:val="000337B3"/>
    <w:rsid w:val="00033E73"/>
    <w:rsid w:val="00034CD4"/>
    <w:rsid w:val="00036C60"/>
    <w:rsid w:val="00046964"/>
    <w:rsid w:val="00046C8D"/>
    <w:rsid w:val="00047D06"/>
    <w:rsid w:val="00054E03"/>
    <w:rsid w:val="00055E92"/>
    <w:rsid w:val="00057085"/>
    <w:rsid w:val="00057983"/>
    <w:rsid w:val="00061AF3"/>
    <w:rsid w:val="00065FF7"/>
    <w:rsid w:val="00071E29"/>
    <w:rsid w:val="00072DB7"/>
    <w:rsid w:val="00073216"/>
    <w:rsid w:val="00073E19"/>
    <w:rsid w:val="000831BC"/>
    <w:rsid w:val="00083E73"/>
    <w:rsid w:val="0008444A"/>
    <w:rsid w:val="0009406F"/>
    <w:rsid w:val="00097D68"/>
    <w:rsid w:val="000A27FD"/>
    <w:rsid w:val="000A283B"/>
    <w:rsid w:val="000A29D7"/>
    <w:rsid w:val="000A5BBC"/>
    <w:rsid w:val="000A5BD0"/>
    <w:rsid w:val="000A6A10"/>
    <w:rsid w:val="000A72AD"/>
    <w:rsid w:val="000A7B45"/>
    <w:rsid w:val="000B2D25"/>
    <w:rsid w:val="000B672D"/>
    <w:rsid w:val="000B71C9"/>
    <w:rsid w:val="000B7275"/>
    <w:rsid w:val="000C0819"/>
    <w:rsid w:val="000C0AEB"/>
    <w:rsid w:val="000C0E15"/>
    <w:rsid w:val="000C2777"/>
    <w:rsid w:val="000C4A33"/>
    <w:rsid w:val="000C6BE5"/>
    <w:rsid w:val="000D3AF3"/>
    <w:rsid w:val="000D407A"/>
    <w:rsid w:val="000D55B9"/>
    <w:rsid w:val="000D797D"/>
    <w:rsid w:val="000E775B"/>
    <w:rsid w:val="000F2DDE"/>
    <w:rsid w:val="000F5145"/>
    <w:rsid w:val="000F7387"/>
    <w:rsid w:val="001003EF"/>
    <w:rsid w:val="001116DB"/>
    <w:rsid w:val="00112139"/>
    <w:rsid w:val="00113281"/>
    <w:rsid w:val="00122102"/>
    <w:rsid w:val="001239EC"/>
    <w:rsid w:val="001311D9"/>
    <w:rsid w:val="00134AB8"/>
    <w:rsid w:val="00137469"/>
    <w:rsid w:val="001420BD"/>
    <w:rsid w:val="00145E4B"/>
    <w:rsid w:val="00155707"/>
    <w:rsid w:val="00156958"/>
    <w:rsid w:val="00157F91"/>
    <w:rsid w:val="00157FA2"/>
    <w:rsid w:val="0016389F"/>
    <w:rsid w:val="00165472"/>
    <w:rsid w:val="00172C14"/>
    <w:rsid w:val="001776F2"/>
    <w:rsid w:val="0018206E"/>
    <w:rsid w:val="00182E8C"/>
    <w:rsid w:val="00196263"/>
    <w:rsid w:val="00197CD3"/>
    <w:rsid w:val="001A0A6A"/>
    <w:rsid w:val="001B2C32"/>
    <w:rsid w:val="001B4AE4"/>
    <w:rsid w:val="001B7F9C"/>
    <w:rsid w:val="001C0C52"/>
    <w:rsid w:val="001C1730"/>
    <w:rsid w:val="001C5BAB"/>
    <w:rsid w:val="001C5C6D"/>
    <w:rsid w:val="001C77AA"/>
    <w:rsid w:val="001D02AC"/>
    <w:rsid w:val="001D1BF6"/>
    <w:rsid w:val="001D1C56"/>
    <w:rsid w:val="001D6FAD"/>
    <w:rsid w:val="001D724F"/>
    <w:rsid w:val="001D79DD"/>
    <w:rsid w:val="001E6188"/>
    <w:rsid w:val="001E7504"/>
    <w:rsid w:val="001E76ED"/>
    <w:rsid w:val="001E794E"/>
    <w:rsid w:val="001F3400"/>
    <w:rsid w:val="001F468A"/>
    <w:rsid w:val="001F54C9"/>
    <w:rsid w:val="001F5652"/>
    <w:rsid w:val="0020124C"/>
    <w:rsid w:val="00201E4E"/>
    <w:rsid w:val="00203A78"/>
    <w:rsid w:val="00210960"/>
    <w:rsid w:val="002143F0"/>
    <w:rsid w:val="002218F1"/>
    <w:rsid w:val="002223BF"/>
    <w:rsid w:val="002237F3"/>
    <w:rsid w:val="00223EE3"/>
    <w:rsid w:val="00225139"/>
    <w:rsid w:val="002331D0"/>
    <w:rsid w:val="0023452D"/>
    <w:rsid w:val="00237006"/>
    <w:rsid w:val="0024039E"/>
    <w:rsid w:val="00244567"/>
    <w:rsid w:val="00253647"/>
    <w:rsid w:val="00253EDD"/>
    <w:rsid w:val="00253FAD"/>
    <w:rsid w:val="002551EE"/>
    <w:rsid w:val="00255552"/>
    <w:rsid w:val="00256B33"/>
    <w:rsid w:val="00257696"/>
    <w:rsid w:val="00265A36"/>
    <w:rsid w:val="00267BED"/>
    <w:rsid w:val="00272598"/>
    <w:rsid w:val="002735E0"/>
    <w:rsid w:val="00277193"/>
    <w:rsid w:val="002807F8"/>
    <w:rsid w:val="0029015F"/>
    <w:rsid w:val="00291357"/>
    <w:rsid w:val="00292F3C"/>
    <w:rsid w:val="002936AE"/>
    <w:rsid w:val="0029560D"/>
    <w:rsid w:val="0029614C"/>
    <w:rsid w:val="002A315B"/>
    <w:rsid w:val="002A3AEC"/>
    <w:rsid w:val="002B4879"/>
    <w:rsid w:val="002B7654"/>
    <w:rsid w:val="002C05DA"/>
    <w:rsid w:val="002C4087"/>
    <w:rsid w:val="002C6DE1"/>
    <w:rsid w:val="002D018B"/>
    <w:rsid w:val="002D037E"/>
    <w:rsid w:val="002D0AB2"/>
    <w:rsid w:val="002D0E86"/>
    <w:rsid w:val="002D0FBB"/>
    <w:rsid w:val="002D4844"/>
    <w:rsid w:val="002D4F83"/>
    <w:rsid w:val="002D5080"/>
    <w:rsid w:val="002D5F7F"/>
    <w:rsid w:val="002D696B"/>
    <w:rsid w:val="002D6E00"/>
    <w:rsid w:val="002E2591"/>
    <w:rsid w:val="002E5041"/>
    <w:rsid w:val="002F1088"/>
    <w:rsid w:val="002F3BC4"/>
    <w:rsid w:val="002F530A"/>
    <w:rsid w:val="002F6A80"/>
    <w:rsid w:val="002F6F8A"/>
    <w:rsid w:val="00301405"/>
    <w:rsid w:val="00311735"/>
    <w:rsid w:val="003121C0"/>
    <w:rsid w:val="00316FC8"/>
    <w:rsid w:val="003179DD"/>
    <w:rsid w:val="00322103"/>
    <w:rsid w:val="00327391"/>
    <w:rsid w:val="00327F1A"/>
    <w:rsid w:val="00330034"/>
    <w:rsid w:val="00330CA0"/>
    <w:rsid w:val="00330D60"/>
    <w:rsid w:val="00333174"/>
    <w:rsid w:val="003445F2"/>
    <w:rsid w:val="00346D34"/>
    <w:rsid w:val="00352F44"/>
    <w:rsid w:val="003557FD"/>
    <w:rsid w:val="00356D9D"/>
    <w:rsid w:val="00356F11"/>
    <w:rsid w:val="00357E5E"/>
    <w:rsid w:val="00360293"/>
    <w:rsid w:val="00363304"/>
    <w:rsid w:val="0037016F"/>
    <w:rsid w:val="003704AE"/>
    <w:rsid w:val="00371750"/>
    <w:rsid w:val="00371B1C"/>
    <w:rsid w:val="003723F0"/>
    <w:rsid w:val="0037371B"/>
    <w:rsid w:val="003773A9"/>
    <w:rsid w:val="00387B05"/>
    <w:rsid w:val="00394907"/>
    <w:rsid w:val="00394B19"/>
    <w:rsid w:val="0039784B"/>
    <w:rsid w:val="003A2D00"/>
    <w:rsid w:val="003A3070"/>
    <w:rsid w:val="003C2A8E"/>
    <w:rsid w:val="003C6A3A"/>
    <w:rsid w:val="003D331F"/>
    <w:rsid w:val="003D4AC4"/>
    <w:rsid w:val="003D789A"/>
    <w:rsid w:val="003E50F8"/>
    <w:rsid w:val="003E5E28"/>
    <w:rsid w:val="003E64BF"/>
    <w:rsid w:val="003E7490"/>
    <w:rsid w:val="003F1FC8"/>
    <w:rsid w:val="003F5856"/>
    <w:rsid w:val="003F75E8"/>
    <w:rsid w:val="0040106A"/>
    <w:rsid w:val="00401486"/>
    <w:rsid w:val="00401B18"/>
    <w:rsid w:val="00401DF3"/>
    <w:rsid w:val="00401F7D"/>
    <w:rsid w:val="004066A6"/>
    <w:rsid w:val="004144E2"/>
    <w:rsid w:val="00416531"/>
    <w:rsid w:val="00420DA7"/>
    <w:rsid w:val="004225FE"/>
    <w:rsid w:val="0042600A"/>
    <w:rsid w:val="00427151"/>
    <w:rsid w:val="0043485D"/>
    <w:rsid w:val="004348D9"/>
    <w:rsid w:val="0044233D"/>
    <w:rsid w:val="004571D0"/>
    <w:rsid w:val="00462DFB"/>
    <w:rsid w:val="004636DD"/>
    <w:rsid w:val="00465972"/>
    <w:rsid w:val="00467196"/>
    <w:rsid w:val="004704D5"/>
    <w:rsid w:val="0047132A"/>
    <w:rsid w:val="00471871"/>
    <w:rsid w:val="00471DE1"/>
    <w:rsid w:val="0047328F"/>
    <w:rsid w:val="004732B0"/>
    <w:rsid w:val="00474D68"/>
    <w:rsid w:val="004778BE"/>
    <w:rsid w:val="0048222D"/>
    <w:rsid w:val="00484810"/>
    <w:rsid w:val="004853B5"/>
    <w:rsid w:val="00485A47"/>
    <w:rsid w:val="0049661F"/>
    <w:rsid w:val="004A1DA6"/>
    <w:rsid w:val="004A2EA2"/>
    <w:rsid w:val="004A31B5"/>
    <w:rsid w:val="004A4BBD"/>
    <w:rsid w:val="004B01E2"/>
    <w:rsid w:val="004B2C2B"/>
    <w:rsid w:val="004B398E"/>
    <w:rsid w:val="004D5EDD"/>
    <w:rsid w:val="004F3897"/>
    <w:rsid w:val="004F5E61"/>
    <w:rsid w:val="005007BB"/>
    <w:rsid w:val="0050093F"/>
    <w:rsid w:val="00502882"/>
    <w:rsid w:val="00506688"/>
    <w:rsid w:val="00510F08"/>
    <w:rsid w:val="0051163E"/>
    <w:rsid w:val="0051425F"/>
    <w:rsid w:val="00515CDD"/>
    <w:rsid w:val="00520AC1"/>
    <w:rsid w:val="00521430"/>
    <w:rsid w:val="00522D1F"/>
    <w:rsid w:val="0053700E"/>
    <w:rsid w:val="00537A52"/>
    <w:rsid w:val="00543B26"/>
    <w:rsid w:val="00552032"/>
    <w:rsid w:val="005533C8"/>
    <w:rsid w:val="00553EC1"/>
    <w:rsid w:val="00556D21"/>
    <w:rsid w:val="00556E07"/>
    <w:rsid w:val="00557921"/>
    <w:rsid w:val="00562B58"/>
    <w:rsid w:val="00562F40"/>
    <w:rsid w:val="00564798"/>
    <w:rsid w:val="005649B7"/>
    <w:rsid w:val="00571DC4"/>
    <w:rsid w:val="00573062"/>
    <w:rsid w:val="00580613"/>
    <w:rsid w:val="00580726"/>
    <w:rsid w:val="00582077"/>
    <w:rsid w:val="0058484D"/>
    <w:rsid w:val="0058713F"/>
    <w:rsid w:val="0059379A"/>
    <w:rsid w:val="00597898"/>
    <w:rsid w:val="005A3160"/>
    <w:rsid w:val="005B644A"/>
    <w:rsid w:val="005B6556"/>
    <w:rsid w:val="005C1664"/>
    <w:rsid w:val="005C3E1F"/>
    <w:rsid w:val="005D4B41"/>
    <w:rsid w:val="005D4D5A"/>
    <w:rsid w:val="005E30D9"/>
    <w:rsid w:val="005E43C2"/>
    <w:rsid w:val="005E4F01"/>
    <w:rsid w:val="005E5800"/>
    <w:rsid w:val="005F3F8D"/>
    <w:rsid w:val="005F59C6"/>
    <w:rsid w:val="005F7D1A"/>
    <w:rsid w:val="00602098"/>
    <w:rsid w:val="00607391"/>
    <w:rsid w:val="00611E9C"/>
    <w:rsid w:val="00613258"/>
    <w:rsid w:val="006139B5"/>
    <w:rsid w:val="00616978"/>
    <w:rsid w:val="00624324"/>
    <w:rsid w:val="0062732B"/>
    <w:rsid w:val="00630B5C"/>
    <w:rsid w:val="00631E5E"/>
    <w:rsid w:val="00632B6A"/>
    <w:rsid w:val="00633048"/>
    <w:rsid w:val="00635659"/>
    <w:rsid w:val="00637376"/>
    <w:rsid w:val="00640FB1"/>
    <w:rsid w:val="00643A6E"/>
    <w:rsid w:val="00657701"/>
    <w:rsid w:val="00657AB6"/>
    <w:rsid w:val="006652E4"/>
    <w:rsid w:val="00672354"/>
    <w:rsid w:val="00672F31"/>
    <w:rsid w:val="00674BCD"/>
    <w:rsid w:val="0068265D"/>
    <w:rsid w:val="0068373C"/>
    <w:rsid w:val="0068387D"/>
    <w:rsid w:val="006853A4"/>
    <w:rsid w:val="006853AD"/>
    <w:rsid w:val="00691CE7"/>
    <w:rsid w:val="00692D78"/>
    <w:rsid w:val="00693042"/>
    <w:rsid w:val="006A0620"/>
    <w:rsid w:val="006A63AE"/>
    <w:rsid w:val="006B070A"/>
    <w:rsid w:val="006C225B"/>
    <w:rsid w:val="006C3B8C"/>
    <w:rsid w:val="006C45C1"/>
    <w:rsid w:val="006D17F4"/>
    <w:rsid w:val="006D300E"/>
    <w:rsid w:val="006D3CD8"/>
    <w:rsid w:val="006F2FEA"/>
    <w:rsid w:val="006F5A46"/>
    <w:rsid w:val="00705651"/>
    <w:rsid w:val="007066FD"/>
    <w:rsid w:val="0071184D"/>
    <w:rsid w:val="00713CC5"/>
    <w:rsid w:val="007178DD"/>
    <w:rsid w:val="0071790F"/>
    <w:rsid w:val="00720790"/>
    <w:rsid w:val="007217D3"/>
    <w:rsid w:val="00723541"/>
    <w:rsid w:val="00725F7F"/>
    <w:rsid w:val="00727E6F"/>
    <w:rsid w:val="00731806"/>
    <w:rsid w:val="00736821"/>
    <w:rsid w:val="007407BD"/>
    <w:rsid w:val="00743FAD"/>
    <w:rsid w:val="0074400F"/>
    <w:rsid w:val="00745526"/>
    <w:rsid w:val="00747426"/>
    <w:rsid w:val="00752226"/>
    <w:rsid w:val="00755B2A"/>
    <w:rsid w:val="007563E2"/>
    <w:rsid w:val="00756899"/>
    <w:rsid w:val="00765DD0"/>
    <w:rsid w:val="00767640"/>
    <w:rsid w:val="00767A1F"/>
    <w:rsid w:val="0077340C"/>
    <w:rsid w:val="00774201"/>
    <w:rsid w:val="00780E3B"/>
    <w:rsid w:val="00786693"/>
    <w:rsid w:val="00790503"/>
    <w:rsid w:val="00793521"/>
    <w:rsid w:val="00796D38"/>
    <w:rsid w:val="007A0CC7"/>
    <w:rsid w:val="007A23F7"/>
    <w:rsid w:val="007B094A"/>
    <w:rsid w:val="007B1BC4"/>
    <w:rsid w:val="007C09AC"/>
    <w:rsid w:val="007C1F8C"/>
    <w:rsid w:val="007C51CB"/>
    <w:rsid w:val="007C562F"/>
    <w:rsid w:val="007D1FA5"/>
    <w:rsid w:val="007D3377"/>
    <w:rsid w:val="007D6473"/>
    <w:rsid w:val="007E0AD0"/>
    <w:rsid w:val="007E0E3E"/>
    <w:rsid w:val="007E44B6"/>
    <w:rsid w:val="007E4690"/>
    <w:rsid w:val="007E5E41"/>
    <w:rsid w:val="007E66A1"/>
    <w:rsid w:val="007E66C5"/>
    <w:rsid w:val="007E7E46"/>
    <w:rsid w:val="007F14C9"/>
    <w:rsid w:val="007F1623"/>
    <w:rsid w:val="00800490"/>
    <w:rsid w:val="00803135"/>
    <w:rsid w:val="00803326"/>
    <w:rsid w:val="00804B54"/>
    <w:rsid w:val="00807C8C"/>
    <w:rsid w:val="00810AA0"/>
    <w:rsid w:val="00814A5F"/>
    <w:rsid w:val="00821B28"/>
    <w:rsid w:val="00826E1D"/>
    <w:rsid w:val="00830789"/>
    <w:rsid w:val="00833098"/>
    <w:rsid w:val="008341FE"/>
    <w:rsid w:val="008374EA"/>
    <w:rsid w:val="00850745"/>
    <w:rsid w:val="00852594"/>
    <w:rsid w:val="00852719"/>
    <w:rsid w:val="00852B52"/>
    <w:rsid w:val="00856ADE"/>
    <w:rsid w:val="0085744F"/>
    <w:rsid w:val="008615D2"/>
    <w:rsid w:val="00863B12"/>
    <w:rsid w:val="00871C75"/>
    <w:rsid w:val="00871D5D"/>
    <w:rsid w:val="00872589"/>
    <w:rsid w:val="0087519D"/>
    <w:rsid w:val="0088790F"/>
    <w:rsid w:val="00897865"/>
    <w:rsid w:val="008B4F7E"/>
    <w:rsid w:val="008C0BA0"/>
    <w:rsid w:val="008C1300"/>
    <w:rsid w:val="008C142F"/>
    <w:rsid w:val="008C6068"/>
    <w:rsid w:val="008D0383"/>
    <w:rsid w:val="008D26AB"/>
    <w:rsid w:val="008D3619"/>
    <w:rsid w:val="008D40CF"/>
    <w:rsid w:val="008D4DC0"/>
    <w:rsid w:val="008D7E37"/>
    <w:rsid w:val="008E100B"/>
    <w:rsid w:val="008E4ED5"/>
    <w:rsid w:val="008E567D"/>
    <w:rsid w:val="008F77F6"/>
    <w:rsid w:val="00900034"/>
    <w:rsid w:val="0090372F"/>
    <w:rsid w:val="009131E2"/>
    <w:rsid w:val="00914F0E"/>
    <w:rsid w:val="00920952"/>
    <w:rsid w:val="00920D4A"/>
    <w:rsid w:val="0092187D"/>
    <w:rsid w:val="00923F26"/>
    <w:rsid w:val="00926863"/>
    <w:rsid w:val="0093089A"/>
    <w:rsid w:val="00941EA3"/>
    <w:rsid w:val="0094295B"/>
    <w:rsid w:val="0094416A"/>
    <w:rsid w:val="00951C38"/>
    <w:rsid w:val="0095446E"/>
    <w:rsid w:val="009547B3"/>
    <w:rsid w:val="00956725"/>
    <w:rsid w:val="00956941"/>
    <w:rsid w:val="009577A5"/>
    <w:rsid w:val="00961D67"/>
    <w:rsid w:val="009658BB"/>
    <w:rsid w:val="00965DE7"/>
    <w:rsid w:val="00974428"/>
    <w:rsid w:val="009758E5"/>
    <w:rsid w:val="00976143"/>
    <w:rsid w:val="009776E9"/>
    <w:rsid w:val="00981FB9"/>
    <w:rsid w:val="00982849"/>
    <w:rsid w:val="00982EE7"/>
    <w:rsid w:val="009842E4"/>
    <w:rsid w:val="00987AE1"/>
    <w:rsid w:val="00991BF3"/>
    <w:rsid w:val="009921F3"/>
    <w:rsid w:val="00992D1E"/>
    <w:rsid w:val="009934BA"/>
    <w:rsid w:val="00994F0A"/>
    <w:rsid w:val="00996BC0"/>
    <w:rsid w:val="009A1F6D"/>
    <w:rsid w:val="009A5534"/>
    <w:rsid w:val="009A5715"/>
    <w:rsid w:val="009A674C"/>
    <w:rsid w:val="009A6C36"/>
    <w:rsid w:val="009B37F9"/>
    <w:rsid w:val="009B4A48"/>
    <w:rsid w:val="009B73B4"/>
    <w:rsid w:val="009C23B2"/>
    <w:rsid w:val="009D15D9"/>
    <w:rsid w:val="009D1BE0"/>
    <w:rsid w:val="009D4C0A"/>
    <w:rsid w:val="009D66AA"/>
    <w:rsid w:val="009E4482"/>
    <w:rsid w:val="009E6E0B"/>
    <w:rsid w:val="009E777A"/>
    <w:rsid w:val="009E787E"/>
    <w:rsid w:val="009F4CDA"/>
    <w:rsid w:val="009F5211"/>
    <w:rsid w:val="009F6828"/>
    <w:rsid w:val="009F76F2"/>
    <w:rsid w:val="00A00F56"/>
    <w:rsid w:val="00A12489"/>
    <w:rsid w:val="00A13DD5"/>
    <w:rsid w:val="00A16E9E"/>
    <w:rsid w:val="00A22273"/>
    <w:rsid w:val="00A2230C"/>
    <w:rsid w:val="00A303C5"/>
    <w:rsid w:val="00A30498"/>
    <w:rsid w:val="00A31635"/>
    <w:rsid w:val="00A35C53"/>
    <w:rsid w:val="00A40E47"/>
    <w:rsid w:val="00A46558"/>
    <w:rsid w:val="00A509CE"/>
    <w:rsid w:val="00A52DCD"/>
    <w:rsid w:val="00A610A3"/>
    <w:rsid w:val="00A6280A"/>
    <w:rsid w:val="00A62839"/>
    <w:rsid w:val="00A63C68"/>
    <w:rsid w:val="00A674A7"/>
    <w:rsid w:val="00A71956"/>
    <w:rsid w:val="00A7201A"/>
    <w:rsid w:val="00A7269D"/>
    <w:rsid w:val="00A75F68"/>
    <w:rsid w:val="00A80AA9"/>
    <w:rsid w:val="00A81A8B"/>
    <w:rsid w:val="00A828DC"/>
    <w:rsid w:val="00A82B2A"/>
    <w:rsid w:val="00A833B8"/>
    <w:rsid w:val="00A83475"/>
    <w:rsid w:val="00A83944"/>
    <w:rsid w:val="00A858EF"/>
    <w:rsid w:val="00A87468"/>
    <w:rsid w:val="00A923AA"/>
    <w:rsid w:val="00A926BD"/>
    <w:rsid w:val="00A9480D"/>
    <w:rsid w:val="00A95AEF"/>
    <w:rsid w:val="00A95F6C"/>
    <w:rsid w:val="00A975C9"/>
    <w:rsid w:val="00AA327A"/>
    <w:rsid w:val="00AA3EDD"/>
    <w:rsid w:val="00AA6A69"/>
    <w:rsid w:val="00AB2174"/>
    <w:rsid w:val="00AB376F"/>
    <w:rsid w:val="00AB3883"/>
    <w:rsid w:val="00AC3573"/>
    <w:rsid w:val="00AC46AB"/>
    <w:rsid w:val="00AD0F20"/>
    <w:rsid w:val="00AD5458"/>
    <w:rsid w:val="00AE64B9"/>
    <w:rsid w:val="00AE67A4"/>
    <w:rsid w:val="00AF11E9"/>
    <w:rsid w:val="00AF2BE7"/>
    <w:rsid w:val="00AF56BB"/>
    <w:rsid w:val="00AF6FA5"/>
    <w:rsid w:val="00B0059D"/>
    <w:rsid w:val="00B03049"/>
    <w:rsid w:val="00B0327E"/>
    <w:rsid w:val="00B05FF6"/>
    <w:rsid w:val="00B066DC"/>
    <w:rsid w:val="00B13B82"/>
    <w:rsid w:val="00B21311"/>
    <w:rsid w:val="00B22EEC"/>
    <w:rsid w:val="00B23C06"/>
    <w:rsid w:val="00B24392"/>
    <w:rsid w:val="00B343F2"/>
    <w:rsid w:val="00B3793E"/>
    <w:rsid w:val="00B400BA"/>
    <w:rsid w:val="00B40A2E"/>
    <w:rsid w:val="00B44812"/>
    <w:rsid w:val="00B45C4C"/>
    <w:rsid w:val="00B47221"/>
    <w:rsid w:val="00B47C17"/>
    <w:rsid w:val="00B50D8B"/>
    <w:rsid w:val="00B5151B"/>
    <w:rsid w:val="00B52F12"/>
    <w:rsid w:val="00B5354A"/>
    <w:rsid w:val="00B565D7"/>
    <w:rsid w:val="00B607EC"/>
    <w:rsid w:val="00B60C51"/>
    <w:rsid w:val="00B613D6"/>
    <w:rsid w:val="00B6214A"/>
    <w:rsid w:val="00B6473A"/>
    <w:rsid w:val="00B649A8"/>
    <w:rsid w:val="00B72F3D"/>
    <w:rsid w:val="00B75E94"/>
    <w:rsid w:val="00B77E2C"/>
    <w:rsid w:val="00B80982"/>
    <w:rsid w:val="00B83464"/>
    <w:rsid w:val="00B84C6F"/>
    <w:rsid w:val="00B8788B"/>
    <w:rsid w:val="00B91917"/>
    <w:rsid w:val="00B92BC6"/>
    <w:rsid w:val="00B93C97"/>
    <w:rsid w:val="00B94122"/>
    <w:rsid w:val="00B9623D"/>
    <w:rsid w:val="00BA1D20"/>
    <w:rsid w:val="00BA441F"/>
    <w:rsid w:val="00BC5357"/>
    <w:rsid w:val="00BC5DB0"/>
    <w:rsid w:val="00BC643D"/>
    <w:rsid w:val="00BD0A1A"/>
    <w:rsid w:val="00BD1A7C"/>
    <w:rsid w:val="00BD36C5"/>
    <w:rsid w:val="00BD3FCF"/>
    <w:rsid w:val="00BD43BC"/>
    <w:rsid w:val="00BD790D"/>
    <w:rsid w:val="00BE1919"/>
    <w:rsid w:val="00BE2942"/>
    <w:rsid w:val="00BE41BB"/>
    <w:rsid w:val="00BE449F"/>
    <w:rsid w:val="00BE4538"/>
    <w:rsid w:val="00BF4656"/>
    <w:rsid w:val="00BF4A32"/>
    <w:rsid w:val="00C01BDD"/>
    <w:rsid w:val="00C076B8"/>
    <w:rsid w:val="00C1181C"/>
    <w:rsid w:val="00C11AF1"/>
    <w:rsid w:val="00C12528"/>
    <w:rsid w:val="00C13625"/>
    <w:rsid w:val="00C1621D"/>
    <w:rsid w:val="00C22212"/>
    <w:rsid w:val="00C25B36"/>
    <w:rsid w:val="00C31178"/>
    <w:rsid w:val="00C31F7F"/>
    <w:rsid w:val="00C33C8E"/>
    <w:rsid w:val="00C373A4"/>
    <w:rsid w:val="00C41A66"/>
    <w:rsid w:val="00C42AE3"/>
    <w:rsid w:val="00C43427"/>
    <w:rsid w:val="00C47079"/>
    <w:rsid w:val="00C50CA1"/>
    <w:rsid w:val="00C51C30"/>
    <w:rsid w:val="00C56785"/>
    <w:rsid w:val="00C61FF9"/>
    <w:rsid w:val="00C62FF2"/>
    <w:rsid w:val="00C650A4"/>
    <w:rsid w:val="00C65412"/>
    <w:rsid w:val="00C751A5"/>
    <w:rsid w:val="00C8048C"/>
    <w:rsid w:val="00C81C41"/>
    <w:rsid w:val="00C82013"/>
    <w:rsid w:val="00C85296"/>
    <w:rsid w:val="00C85FFC"/>
    <w:rsid w:val="00C86BAF"/>
    <w:rsid w:val="00C87669"/>
    <w:rsid w:val="00C90426"/>
    <w:rsid w:val="00C9143C"/>
    <w:rsid w:val="00C91629"/>
    <w:rsid w:val="00C92D74"/>
    <w:rsid w:val="00C9496C"/>
    <w:rsid w:val="00C9532F"/>
    <w:rsid w:val="00CB6CE1"/>
    <w:rsid w:val="00CC1317"/>
    <w:rsid w:val="00CC2688"/>
    <w:rsid w:val="00CC370F"/>
    <w:rsid w:val="00CC3B87"/>
    <w:rsid w:val="00CC46A1"/>
    <w:rsid w:val="00CC5F73"/>
    <w:rsid w:val="00CC6206"/>
    <w:rsid w:val="00CD02DE"/>
    <w:rsid w:val="00CD39B0"/>
    <w:rsid w:val="00CD4315"/>
    <w:rsid w:val="00CD60AC"/>
    <w:rsid w:val="00CD68C9"/>
    <w:rsid w:val="00CE35C6"/>
    <w:rsid w:val="00CE46B3"/>
    <w:rsid w:val="00CE5CC3"/>
    <w:rsid w:val="00CF0C49"/>
    <w:rsid w:val="00CF0C80"/>
    <w:rsid w:val="00CF21D3"/>
    <w:rsid w:val="00CF37EC"/>
    <w:rsid w:val="00CF4B63"/>
    <w:rsid w:val="00D0409A"/>
    <w:rsid w:val="00D04427"/>
    <w:rsid w:val="00D04945"/>
    <w:rsid w:val="00D049A0"/>
    <w:rsid w:val="00D051D2"/>
    <w:rsid w:val="00D057B1"/>
    <w:rsid w:val="00D1333E"/>
    <w:rsid w:val="00D13629"/>
    <w:rsid w:val="00D14639"/>
    <w:rsid w:val="00D166C9"/>
    <w:rsid w:val="00D2025B"/>
    <w:rsid w:val="00D23B86"/>
    <w:rsid w:val="00D23BB7"/>
    <w:rsid w:val="00D3233D"/>
    <w:rsid w:val="00D3460A"/>
    <w:rsid w:val="00D37392"/>
    <w:rsid w:val="00D40E9C"/>
    <w:rsid w:val="00D56024"/>
    <w:rsid w:val="00D632DE"/>
    <w:rsid w:val="00D64B3A"/>
    <w:rsid w:val="00D65334"/>
    <w:rsid w:val="00D72EDB"/>
    <w:rsid w:val="00D754D2"/>
    <w:rsid w:val="00D76653"/>
    <w:rsid w:val="00D813BB"/>
    <w:rsid w:val="00D8246C"/>
    <w:rsid w:val="00D84BA3"/>
    <w:rsid w:val="00D8642A"/>
    <w:rsid w:val="00D9034E"/>
    <w:rsid w:val="00D916F8"/>
    <w:rsid w:val="00D924C1"/>
    <w:rsid w:val="00D9474C"/>
    <w:rsid w:val="00D96196"/>
    <w:rsid w:val="00D96A42"/>
    <w:rsid w:val="00DA6781"/>
    <w:rsid w:val="00DB2D65"/>
    <w:rsid w:val="00DB3322"/>
    <w:rsid w:val="00DB3701"/>
    <w:rsid w:val="00DB3786"/>
    <w:rsid w:val="00DC0689"/>
    <w:rsid w:val="00DC1DA2"/>
    <w:rsid w:val="00DC32EC"/>
    <w:rsid w:val="00DC3C08"/>
    <w:rsid w:val="00DC5FE9"/>
    <w:rsid w:val="00DC649F"/>
    <w:rsid w:val="00DD02B0"/>
    <w:rsid w:val="00DD0A15"/>
    <w:rsid w:val="00DD26A9"/>
    <w:rsid w:val="00DD4BCE"/>
    <w:rsid w:val="00DD658C"/>
    <w:rsid w:val="00DD6D20"/>
    <w:rsid w:val="00DE0EBD"/>
    <w:rsid w:val="00DE2F29"/>
    <w:rsid w:val="00DE3989"/>
    <w:rsid w:val="00DE55E7"/>
    <w:rsid w:val="00DE61CE"/>
    <w:rsid w:val="00DF0350"/>
    <w:rsid w:val="00DF7708"/>
    <w:rsid w:val="00E02D21"/>
    <w:rsid w:val="00E04019"/>
    <w:rsid w:val="00E04F9B"/>
    <w:rsid w:val="00E14892"/>
    <w:rsid w:val="00E150A3"/>
    <w:rsid w:val="00E17402"/>
    <w:rsid w:val="00E26548"/>
    <w:rsid w:val="00E26D6E"/>
    <w:rsid w:val="00E275F6"/>
    <w:rsid w:val="00E27F6F"/>
    <w:rsid w:val="00E3043C"/>
    <w:rsid w:val="00E30C3F"/>
    <w:rsid w:val="00E319CE"/>
    <w:rsid w:val="00E34992"/>
    <w:rsid w:val="00E35CAB"/>
    <w:rsid w:val="00E42844"/>
    <w:rsid w:val="00E43C31"/>
    <w:rsid w:val="00E44FE7"/>
    <w:rsid w:val="00E4648A"/>
    <w:rsid w:val="00E5176D"/>
    <w:rsid w:val="00E52380"/>
    <w:rsid w:val="00E53C67"/>
    <w:rsid w:val="00E67649"/>
    <w:rsid w:val="00E676C2"/>
    <w:rsid w:val="00E71F54"/>
    <w:rsid w:val="00E723C2"/>
    <w:rsid w:val="00E729B3"/>
    <w:rsid w:val="00E7723A"/>
    <w:rsid w:val="00E77692"/>
    <w:rsid w:val="00E816A4"/>
    <w:rsid w:val="00E81976"/>
    <w:rsid w:val="00E82C93"/>
    <w:rsid w:val="00E83722"/>
    <w:rsid w:val="00E85882"/>
    <w:rsid w:val="00E90863"/>
    <w:rsid w:val="00EB609D"/>
    <w:rsid w:val="00EC1176"/>
    <w:rsid w:val="00EC23C5"/>
    <w:rsid w:val="00EC365B"/>
    <w:rsid w:val="00EC4248"/>
    <w:rsid w:val="00ED18DC"/>
    <w:rsid w:val="00ED27D0"/>
    <w:rsid w:val="00ED2AAD"/>
    <w:rsid w:val="00ED4F7E"/>
    <w:rsid w:val="00ED6B77"/>
    <w:rsid w:val="00EF3B75"/>
    <w:rsid w:val="00EF51A0"/>
    <w:rsid w:val="00F0128E"/>
    <w:rsid w:val="00F021B4"/>
    <w:rsid w:val="00F02379"/>
    <w:rsid w:val="00F0322E"/>
    <w:rsid w:val="00F04601"/>
    <w:rsid w:val="00F1028B"/>
    <w:rsid w:val="00F113E6"/>
    <w:rsid w:val="00F133AD"/>
    <w:rsid w:val="00F15401"/>
    <w:rsid w:val="00F2275B"/>
    <w:rsid w:val="00F23E2A"/>
    <w:rsid w:val="00F246CC"/>
    <w:rsid w:val="00F306C5"/>
    <w:rsid w:val="00F310C7"/>
    <w:rsid w:val="00F34B69"/>
    <w:rsid w:val="00F412B3"/>
    <w:rsid w:val="00F4565E"/>
    <w:rsid w:val="00F561C6"/>
    <w:rsid w:val="00F63DBE"/>
    <w:rsid w:val="00F6415B"/>
    <w:rsid w:val="00F740E4"/>
    <w:rsid w:val="00F75CAD"/>
    <w:rsid w:val="00F769F0"/>
    <w:rsid w:val="00F827B2"/>
    <w:rsid w:val="00F85F64"/>
    <w:rsid w:val="00F86120"/>
    <w:rsid w:val="00F86CC9"/>
    <w:rsid w:val="00F90345"/>
    <w:rsid w:val="00F93CBF"/>
    <w:rsid w:val="00F9473D"/>
    <w:rsid w:val="00F94E45"/>
    <w:rsid w:val="00F95FED"/>
    <w:rsid w:val="00FA0345"/>
    <w:rsid w:val="00FA18D2"/>
    <w:rsid w:val="00FA2778"/>
    <w:rsid w:val="00FA2E86"/>
    <w:rsid w:val="00FA691E"/>
    <w:rsid w:val="00FB058D"/>
    <w:rsid w:val="00FB1855"/>
    <w:rsid w:val="00FB4178"/>
    <w:rsid w:val="00FB6313"/>
    <w:rsid w:val="00FB64CF"/>
    <w:rsid w:val="00FD0117"/>
    <w:rsid w:val="00FD0FB2"/>
    <w:rsid w:val="00FD1690"/>
    <w:rsid w:val="00FD1798"/>
    <w:rsid w:val="00FE2DE3"/>
    <w:rsid w:val="00FE34B4"/>
    <w:rsid w:val="00FE7051"/>
    <w:rsid w:val="00FF302C"/>
    <w:rsid w:val="00FF6513"/>
    <w:rsid w:val="09BE3120"/>
    <w:rsid w:val="4F8657EF"/>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qFormat="1"/>
    <w:lsdException w:name="header" w:semiHidden="0"/>
    <w:lsdException w:name="footer" w:semiHidden="0" w:qFormat="1"/>
    <w:lsdException w:name="caption" w:uiPriority="35" w:qFormat="1"/>
    <w:lsdException w:name="footnote reference" w:semiHidden="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2" w:semiHidden="0" w:uiPriority="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rFonts w:ascii="Times New Roman" w:eastAsia="Times New Roman" w:hAnsi="Times New Roman" w:cs="Times New Roman"/>
      <w:sz w:val="24"/>
      <w:szCs w:val="24"/>
    </w:rPr>
  </w:style>
  <w:style w:type="paragraph" w:styleId="Nadpis1">
    <w:name w:val="heading 1"/>
    <w:basedOn w:val="Normln"/>
    <w:next w:val="Normln"/>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semiHidden/>
    <w:unhideWhenUsed/>
    <w:qFormat/>
    <w:pPr>
      <w:keepNext/>
      <w:keepLines/>
      <w:spacing w:before="200"/>
      <w:outlineLvl w:val="4"/>
    </w:pPr>
    <w:rPr>
      <w:rFonts w:asciiTheme="majorHAnsi" w:eastAsiaTheme="majorEastAsia" w:hAnsiTheme="majorHAnsi" w:cstheme="majorBidi"/>
      <w:color w:val="244061" w:themeColor="accent1"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qFormat/>
    <w:rPr>
      <w:rFonts w:ascii="Tahoma" w:hAnsi="Tahoma" w:cs="Tahoma"/>
      <w:sz w:val="16"/>
      <w:szCs w:val="16"/>
    </w:rPr>
  </w:style>
  <w:style w:type="paragraph" w:styleId="Zkladntext">
    <w:name w:val="Body Text"/>
    <w:basedOn w:val="Normln"/>
    <w:link w:val="ZkladntextChar"/>
    <w:uiPriority w:val="99"/>
    <w:semiHidden/>
    <w:unhideWhenUsed/>
    <w:qFormat/>
    <w:pPr>
      <w:spacing w:after="120"/>
    </w:pPr>
  </w:style>
  <w:style w:type="paragraph" w:styleId="Zkladntext2">
    <w:name w:val="Body Text 2"/>
    <w:basedOn w:val="Normln"/>
    <w:link w:val="Zkladntext2Char"/>
    <w:qFormat/>
    <w:rPr>
      <w:szCs w:val="20"/>
    </w:rPr>
  </w:style>
  <w:style w:type="paragraph" w:styleId="Textkomente">
    <w:name w:val="annotation text"/>
    <w:basedOn w:val="Normln"/>
    <w:link w:val="TextkomenteChar"/>
    <w:uiPriority w:val="99"/>
    <w:semiHidden/>
    <w:unhideWhenUsed/>
    <w:qFormat/>
    <w:rPr>
      <w:sz w:val="20"/>
      <w:szCs w:val="20"/>
    </w:rPr>
  </w:style>
  <w:style w:type="paragraph" w:styleId="Pedmtkomente">
    <w:name w:val="annotation subject"/>
    <w:basedOn w:val="Textkomente"/>
    <w:next w:val="Textkomente"/>
    <w:link w:val="PedmtkomenteChar"/>
    <w:uiPriority w:val="99"/>
    <w:semiHidden/>
    <w:unhideWhenUsed/>
    <w:qFormat/>
    <w:rPr>
      <w:b/>
      <w:bCs/>
    </w:rPr>
  </w:style>
  <w:style w:type="paragraph" w:styleId="Zpat">
    <w:name w:val="footer"/>
    <w:basedOn w:val="Normln"/>
    <w:link w:val="ZpatChar"/>
    <w:uiPriority w:val="99"/>
    <w:unhideWhenUsed/>
    <w:qFormat/>
    <w:pPr>
      <w:tabs>
        <w:tab w:val="center" w:pos="4536"/>
        <w:tab w:val="right" w:pos="9072"/>
      </w:tabs>
    </w:pPr>
  </w:style>
  <w:style w:type="paragraph" w:styleId="Textpoznpodarou">
    <w:name w:val="footnote text"/>
    <w:basedOn w:val="Normln"/>
    <w:link w:val="TextpoznpodarouChar"/>
    <w:uiPriority w:val="99"/>
    <w:unhideWhenUsed/>
    <w:qFormat/>
    <w:pPr>
      <w:spacing w:before="120"/>
      <w:jc w:val="both"/>
    </w:pPr>
    <w:rPr>
      <w:rFonts w:ascii="Cambria" w:eastAsiaTheme="minorEastAsia" w:hAnsi="Cambria"/>
      <w:i/>
      <w:sz w:val="20"/>
      <w:szCs w:val="20"/>
    </w:rPr>
  </w:style>
  <w:style w:type="paragraph" w:styleId="Zhlav">
    <w:name w:val="header"/>
    <w:basedOn w:val="Normln"/>
    <w:link w:val="ZhlavChar"/>
    <w:uiPriority w:val="99"/>
    <w:unhideWhenUsed/>
    <w:pPr>
      <w:tabs>
        <w:tab w:val="center" w:pos="4536"/>
        <w:tab w:val="right" w:pos="9072"/>
      </w:tabs>
    </w:pPr>
  </w:style>
  <w:style w:type="paragraph" w:styleId="Normlnweb">
    <w:name w:val="Normal (Web)"/>
    <w:basedOn w:val="Normln"/>
    <w:uiPriority w:val="99"/>
    <w:unhideWhenUsed/>
    <w:qFormat/>
    <w:pPr>
      <w:spacing w:before="100" w:beforeAutospacing="1" w:after="100" w:afterAutospacing="1"/>
    </w:pPr>
  </w:style>
  <w:style w:type="paragraph" w:styleId="Nzev">
    <w:name w:val="Title"/>
    <w:basedOn w:val="Normln"/>
    <w:next w:val="Normln"/>
    <w:link w:val="NzevChar"/>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styleId="Odkaznakoment">
    <w:name w:val="annotation reference"/>
    <w:basedOn w:val="Standardnpsmoodstavce"/>
    <w:uiPriority w:val="99"/>
    <w:semiHidden/>
    <w:unhideWhenUsed/>
    <w:rPr>
      <w:sz w:val="16"/>
      <w:szCs w:val="16"/>
    </w:rPr>
  </w:style>
  <w:style w:type="character" w:styleId="Znakapoznpodarou">
    <w:name w:val="footnote reference"/>
    <w:basedOn w:val="Standardnpsmoodstavce"/>
    <w:uiPriority w:val="99"/>
    <w:unhideWhenUsed/>
    <w:rPr>
      <w:vertAlign w:val="superscript"/>
    </w:rPr>
  </w:style>
  <w:style w:type="character" w:styleId="Hypertextovodkaz">
    <w:name w:val="Hyperlink"/>
    <w:qFormat/>
    <w:rPr>
      <w:color w:val="0000FF"/>
      <w:u w:val="single"/>
    </w:rPr>
  </w:style>
  <w:style w:type="character" w:styleId="Siln">
    <w:name w:val="Strong"/>
    <w:uiPriority w:val="22"/>
    <w:qFormat/>
    <w:rPr>
      <w:b/>
      <w:bCs/>
    </w:rPr>
  </w:style>
  <w:style w:type="table" w:styleId="Mkatabulky">
    <w:name w:val="Table Grid"/>
    <w:basedOn w:val="Normlntabul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uiPriority w:val="99"/>
    <w:qFormat/>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Pr>
      <w:rFonts w:ascii="Times New Roman" w:eastAsia="Times New Roman" w:hAnsi="Times New Roman" w:cs="Times New Roman"/>
      <w:sz w:val="24"/>
      <w:szCs w:val="24"/>
      <w:lang w:eastAsia="cs-CZ"/>
    </w:rPr>
  </w:style>
  <w:style w:type="character" w:customStyle="1" w:styleId="NzevChar">
    <w:name w:val="Název Char"/>
    <w:basedOn w:val="Standardnpsmoodstavce"/>
    <w:link w:val="Nzev"/>
    <w:uiPriority w:val="10"/>
    <w:rPr>
      <w:rFonts w:asciiTheme="majorHAnsi" w:eastAsiaTheme="majorEastAsia" w:hAnsiTheme="majorHAnsi" w:cstheme="majorBidi"/>
      <w:color w:val="17365D" w:themeColor="text2" w:themeShade="BF"/>
      <w:spacing w:val="5"/>
      <w:kern w:val="28"/>
      <w:sz w:val="52"/>
      <w:szCs w:val="52"/>
      <w:lang w:eastAsia="cs-CZ"/>
    </w:rPr>
  </w:style>
  <w:style w:type="character" w:customStyle="1" w:styleId="TextbublinyChar">
    <w:name w:val="Text bubliny Char"/>
    <w:basedOn w:val="Standardnpsmoodstavce"/>
    <w:link w:val="Textbubliny"/>
    <w:uiPriority w:val="99"/>
    <w:semiHidden/>
    <w:rPr>
      <w:rFonts w:ascii="Tahoma" w:eastAsia="Times New Roman" w:hAnsi="Tahoma" w:cs="Tahoma"/>
      <w:sz w:val="16"/>
      <w:szCs w:val="16"/>
      <w:lang w:eastAsia="cs-CZ"/>
    </w:rPr>
  </w:style>
  <w:style w:type="paragraph" w:styleId="Odstavecseseznamem">
    <w:name w:val="List Paragraph"/>
    <w:basedOn w:val="Normln"/>
    <w:uiPriority w:val="34"/>
    <w:qFormat/>
    <w:pPr>
      <w:ind w:left="720"/>
      <w:contextualSpacing/>
    </w:pPr>
  </w:style>
  <w:style w:type="character" w:customStyle="1" w:styleId="Nadpis2Char">
    <w:name w:val="Nadpis 2 Char"/>
    <w:basedOn w:val="Standardnpsmoodstavce"/>
    <w:link w:val="Nadpis2"/>
    <w:uiPriority w:val="9"/>
    <w:qFormat/>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qFormat/>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pPr>
      <w:spacing w:after="160" w:line="240" w:lineRule="exact"/>
    </w:pPr>
    <w:rPr>
      <w:rFonts w:ascii="Tahoma" w:hAnsi="Tahoma"/>
      <w:sz w:val="20"/>
      <w:szCs w:val="20"/>
      <w:lang w:val="en-US" w:eastAsia="en-US"/>
    </w:rPr>
  </w:style>
  <w:style w:type="character" w:customStyle="1" w:styleId="TextkomenteChar">
    <w:name w:val="Text komentáře Char"/>
    <w:basedOn w:val="Standardnpsmoodstavce"/>
    <w:link w:val="Textkomente"/>
    <w:uiPriority w:val="99"/>
    <w:semiHidden/>
    <w:qFormat/>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rPr>
      <w:rFonts w:ascii="Times New Roman" w:eastAsia="Times New Roman" w:hAnsi="Times New Roman" w:cs="Times New Roman"/>
      <w:b/>
      <w:bCs/>
      <w:sz w:val="20"/>
      <w:szCs w:val="20"/>
      <w:lang w:eastAsia="cs-CZ"/>
    </w:rPr>
  </w:style>
  <w:style w:type="character" w:customStyle="1" w:styleId="TextpoznpodarouChar">
    <w:name w:val="Text pozn. pod čarou Char"/>
    <w:basedOn w:val="Standardnpsmoodstavce"/>
    <w:link w:val="Textpoznpodarou"/>
    <w:uiPriority w:val="99"/>
    <w:qFormat/>
    <w:rPr>
      <w:rFonts w:ascii="Cambria" w:eastAsiaTheme="minorEastAsia" w:hAnsi="Cambria" w:cs="Times New Roman"/>
      <w:i/>
      <w:sz w:val="20"/>
      <w:szCs w:val="20"/>
      <w:lang w:eastAsia="cs-CZ"/>
    </w:rPr>
  </w:style>
  <w:style w:type="character" w:customStyle="1" w:styleId="Zkladntext2Char">
    <w:name w:val="Základní text 2 Char"/>
    <w:basedOn w:val="Standardnpsmoodstavce"/>
    <w:link w:val="Zkladntext2"/>
    <w:qFormat/>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pPr>
      <w:spacing w:after="160" w:line="240" w:lineRule="exact"/>
    </w:pPr>
    <w:rPr>
      <w:rFonts w:ascii="Tahoma" w:hAnsi="Tahoma"/>
      <w:sz w:val="20"/>
      <w:szCs w:val="20"/>
      <w:lang w:val="en-US" w:eastAsia="en-US"/>
    </w:rPr>
  </w:style>
  <w:style w:type="paragraph" w:customStyle="1" w:styleId="Odstavecseseznamem1">
    <w:name w:val="Odstavec se seznamem1"/>
    <w:basedOn w:val="Normln"/>
    <w:qFormat/>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pPr>
      <w:spacing w:after="160" w:line="240" w:lineRule="exact"/>
    </w:pPr>
    <w:rPr>
      <w:rFonts w:ascii="Tahoma" w:hAnsi="Tahoma"/>
      <w:sz w:val="20"/>
      <w:szCs w:val="20"/>
      <w:lang w:val="en-US" w:eastAsia="en-US"/>
    </w:rPr>
  </w:style>
  <w:style w:type="paragraph" w:customStyle="1" w:styleId="StylI">
    <w:name w:val="Styl I."/>
    <w:basedOn w:val="Odstavecseseznamem"/>
    <w:link w:val="StylIChar"/>
    <w:qFormat/>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Pr>
      <w:rFonts w:ascii="Arial" w:eastAsia="Calibri" w:hAnsi="Arial" w:cs="Arial"/>
    </w:rPr>
  </w:style>
  <w:style w:type="paragraph" w:customStyle="1" w:styleId="Stylaa">
    <w:name w:val="Styl aa)"/>
    <w:basedOn w:val="Odstavecseseznamem"/>
    <w:qFormat/>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pPr>
      <w:numPr>
        <w:ilvl w:val="2"/>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Usneseni-zedne">
    <w:name w:val="Usneseni - ze dne...... č...."/>
    <w:basedOn w:val="Normln"/>
    <w:pPr>
      <w:jc w:val="center"/>
    </w:pPr>
    <w:rPr>
      <w:rFonts w:ascii="Arial" w:hAnsi="Arial"/>
      <w:sz w:val="22"/>
      <w:szCs w:val="20"/>
    </w:rPr>
  </w:style>
  <w:style w:type="character" w:customStyle="1" w:styleId="ZkladntextChar">
    <w:name w:val="Základní text Char"/>
    <w:basedOn w:val="Standardnpsmoodstavce"/>
    <w:link w:val="Zkladntext"/>
    <w:qFormat/>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pPr>
      <w:overflowPunct w:val="0"/>
      <w:autoSpaceDE w:val="0"/>
      <w:autoSpaceDN w:val="0"/>
      <w:adjustRightInd w:val="0"/>
      <w:jc w:val="center"/>
      <w:textAlignment w:val="baseline"/>
    </w:pPr>
    <w:rPr>
      <w:rFonts w:ascii="Arial" w:hAnsi="Arial" w:cs="Arial"/>
      <w:b/>
      <w:sz w:val="22"/>
    </w:rPr>
  </w:style>
  <w:style w:type="character" w:customStyle="1" w:styleId="Styl1-NzevmateriluChar">
    <w:name w:val="Styl1 - Název materiálu Char"/>
    <w:link w:val="Styl1-Nzevmaterilu"/>
    <w:qFormat/>
    <w:rPr>
      <w:rFonts w:ascii="Arial" w:eastAsia="Times New Roman" w:hAnsi="Arial" w:cs="Arial"/>
      <w:b/>
      <w:szCs w:val="24"/>
      <w:lang w:eastAsia="cs-CZ"/>
    </w:rPr>
  </w:style>
  <w:style w:type="character" w:customStyle="1" w:styleId="Nadpis1Char">
    <w:name w:val="Nadpis 1 Char"/>
    <w:basedOn w:val="Standardnpsmoodstavce"/>
    <w:link w:val="Nadpis1"/>
    <w:uiPriority w:val="9"/>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i-art">
    <w:name w:val="ti-art"/>
    <w:basedOn w:val="Normln"/>
    <w:pPr>
      <w:spacing w:before="100" w:beforeAutospacing="1" w:after="100" w:afterAutospacing="1"/>
    </w:pPr>
  </w:style>
  <w:style w:type="paragraph" w:customStyle="1" w:styleId="Bullet1">
    <w:name w:val="Bullet 1"/>
    <w:basedOn w:val="Normln"/>
    <w:link w:val="Bullet1Char"/>
    <w:uiPriority w:val="99"/>
    <w:qFormat/>
    <w:pPr>
      <w:numPr>
        <w:numId w:val="2"/>
      </w:numPr>
      <w:spacing w:before="120" w:after="120"/>
    </w:pPr>
    <w:rPr>
      <w:rFonts w:ascii="Arial" w:hAnsi="Arial"/>
      <w:sz w:val="22"/>
    </w:rPr>
  </w:style>
  <w:style w:type="paragraph" w:customStyle="1" w:styleId="Odrka1">
    <w:name w:val="Odrážka 1"/>
    <w:basedOn w:val="Bullet1"/>
    <w:link w:val="Odrka1Char"/>
    <w:qFormat/>
  </w:style>
  <w:style w:type="character" w:customStyle="1" w:styleId="Odrka1Char">
    <w:name w:val="Odrážka 1 Char"/>
    <w:basedOn w:val="Standardnpsmoodstavce"/>
    <w:link w:val="Odrka1"/>
    <w:rPr>
      <w:rFonts w:ascii="Arial" w:eastAsia="Times New Roman" w:hAnsi="Arial" w:cs="Times New Roman"/>
      <w:szCs w:val="24"/>
      <w:lang w:eastAsia="cs-CZ"/>
    </w:rPr>
  </w:style>
  <w:style w:type="character" w:customStyle="1" w:styleId="Nadpis3Char">
    <w:name w:val="Nadpis 3 Char"/>
    <w:basedOn w:val="Standardnpsmoodstavce"/>
    <w:link w:val="Nadpis3"/>
    <w:uiPriority w:val="9"/>
    <w:semiHidden/>
    <w:qFormat/>
    <w:rPr>
      <w:rFonts w:asciiTheme="majorHAnsi" w:eastAsiaTheme="majorEastAsia" w:hAnsiTheme="majorHAnsi" w:cstheme="majorBidi"/>
      <w:b/>
      <w:bCs/>
      <w:color w:val="4F81BD" w:themeColor="accent1"/>
      <w:sz w:val="24"/>
      <w:szCs w:val="24"/>
      <w:lang w:eastAsia="cs-CZ"/>
    </w:rPr>
  </w:style>
  <w:style w:type="character" w:customStyle="1" w:styleId="Bullet1Char">
    <w:name w:val="Bullet 1 Char"/>
    <w:basedOn w:val="Standardnpsmoodstavce"/>
    <w:link w:val="Bullet1"/>
    <w:uiPriority w:val="99"/>
    <w:qFormat/>
    <w:rPr>
      <w:rFonts w:ascii="Arial" w:eastAsia="Times New Roman" w:hAnsi="Arial" w:cs="Times New Roman"/>
      <w:szCs w:val="24"/>
      <w:lang w:eastAsia="cs-CZ"/>
    </w:rPr>
  </w:style>
  <w:style w:type="paragraph" w:customStyle="1" w:styleId="Normln10">
    <w:name w:val="Normální 10"/>
    <w:link w:val="Normln10Char"/>
    <w:uiPriority w:val="99"/>
    <w:qFormat/>
    <w:pPr>
      <w:suppressAutoHyphens/>
      <w:spacing w:before="100" w:after="0"/>
      <w:jc w:val="both"/>
    </w:pPr>
    <w:rPr>
      <w:rFonts w:ascii="Arial" w:eastAsia="Times New Roman" w:hAnsi="Arial" w:cs="Times New Roman"/>
    </w:rPr>
  </w:style>
  <w:style w:type="character" w:customStyle="1" w:styleId="Normln10Char">
    <w:name w:val="Normální 10 Char"/>
    <w:link w:val="Normln10"/>
    <w:uiPriority w:val="99"/>
    <w:qFormat/>
    <w:locked/>
    <w:rPr>
      <w:rFonts w:ascii="Arial" w:eastAsia="Times New Roman" w:hAnsi="Arial" w:cs="Times New Roman"/>
      <w:sz w:val="20"/>
      <w:szCs w:val="20"/>
      <w:lang w:eastAsia="cs-CZ"/>
    </w:rPr>
  </w:style>
  <w:style w:type="character" w:customStyle="1" w:styleId="xsptextcomputedfield">
    <w:name w:val="xsptextcomputedfield"/>
    <w:basedOn w:val="Standardnpsmoodstavce"/>
    <w:qFormat/>
  </w:style>
  <w:style w:type="paragraph" w:customStyle="1" w:styleId="Text">
    <w:name w:val="_Text"/>
    <w:basedOn w:val="Normln"/>
    <w:qFormat/>
    <w:pPr>
      <w:spacing w:after="120" w:line="276" w:lineRule="auto"/>
      <w:jc w:val="both"/>
    </w:pPr>
    <w:rPr>
      <w:rFonts w:ascii="Arial" w:eastAsiaTheme="minorHAnsi" w:hAnsi="Arial" w:cs="Arial"/>
      <w:sz w:val="22"/>
      <w:lang w:eastAsia="en-US"/>
    </w:rPr>
  </w:style>
  <w:style w:type="character" w:customStyle="1" w:styleId="Nadpis5Char">
    <w:name w:val="Nadpis 5 Char"/>
    <w:basedOn w:val="Standardnpsmoodstavce"/>
    <w:link w:val="Nadpis5"/>
    <w:uiPriority w:val="9"/>
    <w:semiHidden/>
    <w:qFormat/>
    <w:rPr>
      <w:rFonts w:asciiTheme="majorHAnsi" w:eastAsiaTheme="majorEastAsia" w:hAnsiTheme="majorHAnsi" w:cstheme="majorBidi"/>
      <w:color w:val="244061" w:themeColor="accent1" w:themeShade="80"/>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qFormat="1"/>
    <w:lsdException w:name="header" w:semiHidden="0"/>
    <w:lsdException w:name="footer" w:semiHidden="0" w:qFormat="1"/>
    <w:lsdException w:name="caption" w:uiPriority="35" w:qFormat="1"/>
    <w:lsdException w:name="footnote reference" w:semiHidden="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2" w:semiHidden="0" w:uiPriority="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rFonts w:ascii="Times New Roman" w:eastAsia="Times New Roman" w:hAnsi="Times New Roman" w:cs="Times New Roman"/>
      <w:sz w:val="24"/>
      <w:szCs w:val="24"/>
    </w:rPr>
  </w:style>
  <w:style w:type="paragraph" w:styleId="Nadpis1">
    <w:name w:val="heading 1"/>
    <w:basedOn w:val="Normln"/>
    <w:next w:val="Normln"/>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semiHidden/>
    <w:unhideWhenUsed/>
    <w:qFormat/>
    <w:pPr>
      <w:keepNext/>
      <w:keepLines/>
      <w:spacing w:before="200"/>
      <w:outlineLvl w:val="4"/>
    </w:pPr>
    <w:rPr>
      <w:rFonts w:asciiTheme="majorHAnsi" w:eastAsiaTheme="majorEastAsia" w:hAnsiTheme="majorHAnsi" w:cstheme="majorBidi"/>
      <w:color w:val="244061" w:themeColor="accent1"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qFormat/>
    <w:rPr>
      <w:rFonts w:ascii="Tahoma" w:hAnsi="Tahoma" w:cs="Tahoma"/>
      <w:sz w:val="16"/>
      <w:szCs w:val="16"/>
    </w:rPr>
  </w:style>
  <w:style w:type="paragraph" w:styleId="Zkladntext">
    <w:name w:val="Body Text"/>
    <w:basedOn w:val="Normln"/>
    <w:link w:val="ZkladntextChar"/>
    <w:uiPriority w:val="99"/>
    <w:semiHidden/>
    <w:unhideWhenUsed/>
    <w:qFormat/>
    <w:pPr>
      <w:spacing w:after="120"/>
    </w:pPr>
  </w:style>
  <w:style w:type="paragraph" w:styleId="Zkladntext2">
    <w:name w:val="Body Text 2"/>
    <w:basedOn w:val="Normln"/>
    <w:link w:val="Zkladntext2Char"/>
    <w:qFormat/>
    <w:rPr>
      <w:szCs w:val="20"/>
    </w:rPr>
  </w:style>
  <w:style w:type="paragraph" w:styleId="Textkomente">
    <w:name w:val="annotation text"/>
    <w:basedOn w:val="Normln"/>
    <w:link w:val="TextkomenteChar"/>
    <w:uiPriority w:val="99"/>
    <w:semiHidden/>
    <w:unhideWhenUsed/>
    <w:qFormat/>
    <w:rPr>
      <w:sz w:val="20"/>
      <w:szCs w:val="20"/>
    </w:rPr>
  </w:style>
  <w:style w:type="paragraph" w:styleId="Pedmtkomente">
    <w:name w:val="annotation subject"/>
    <w:basedOn w:val="Textkomente"/>
    <w:next w:val="Textkomente"/>
    <w:link w:val="PedmtkomenteChar"/>
    <w:uiPriority w:val="99"/>
    <w:semiHidden/>
    <w:unhideWhenUsed/>
    <w:qFormat/>
    <w:rPr>
      <w:b/>
      <w:bCs/>
    </w:rPr>
  </w:style>
  <w:style w:type="paragraph" w:styleId="Zpat">
    <w:name w:val="footer"/>
    <w:basedOn w:val="Normln"/>
    <w:link w:val="ZpatChar"/>
    <w:uiPriority w:val="99"/>
    <w:unhideWhenUsed/>
    <w:qFormat/>
    <w:pPr>
      <w:tabs>
        <w:tab w:val="center" w:pos="4536"/>
        <w:tab w:val="right" w:pos="9072"/>
      </w:tabs>
    </w:pPr>
  </w:style>
  <w:style w:type="paragraph" w:styleId="Textpoznpodarou">
    <w:name w:val="footnote text"/>
    <w:basedOn w:val="Normln"/>
    <w:link w:val="TextpoznpodarouChar"/>
    <w:uiPriority w:val="99"/>
    <w:unhideWhenUsed/>
    <w:qFormat/>
    <w:pPr>
      <w:spacing w:before="120"/>
      <w:jc w:val="both"/>
    </w:pPr>
    <w:rPr>
      <w:rFonts w:ascii="Cambria" w:eastAsiaTheme="minorEastAsia" w:hAnsi="Cambria"/>
      <w:i/>
      <w:sz w:val="20"/>
      <w:szCs w:val="20"/>
    </w:rPr>
  </w:style>
  <w:style w:type="paragraph" w:styleId="Zhlav">
    <w:name w:val="header"/>
    <w:basedOn w:val="Normln"/>
    <w:link w:val="ZhlavChar"/>
    <w:uiPriority w:val="99"/>
    <w:unhideWhenUsed/>
    <w:pPr>
      <w:tabs>
        <w:tab w:val="center" w:pos="4536"/>
        <w:tab w:val="right" w:pos="9072"/>
      </w:tabs>
    </w:pPr>
  </w:style>
  <w:style w:type="paragraph" w:styleId="Normlnweb">
    <w:name w:val="Normal (Web)"/>
    <w:basedOn w:val="Normln"/>
    <w:uiPriority w:val="99"/>
    <w:unhideWhenUsed/>
    <w:qFormat/>
    <w:pPr>
      <w:spacing w:before="100" w:beforeAutospacing="1" w:after="100" w:afterAutospacing="1"/>
    </w:pPr>
  </w:style>
  <w:style w:type="paragraph" w:styleId="Nzev">
    <w:name w:val="Title"/>
    <w:basedOn w:val="Normln"/>
    <w:next w:val="Normln"/>
    <w:link w:val="NzevChar"/>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styleId="Odkaznakoment">
    <w:name w:val="annotation reference"/>
    <w:basedOn w:val="Standardnpsmoodstavce"/>
    <w:uiPriority w:val="99"/>
    <w:semiHidden/>
    <w:unhideWhenUsed/>
    <w:rPr>
      <w:sz w:val="16"/>
      <w:szCs w:val="16"/>
    </w:rPr>
  </w:style>
  <w:style w:type="character" w:styleId="Znakapoznpodarou">
    <w:name w:val="footnote reference"/>
    <w:basedOn w:val="Standardnpsmoodstavce"/>
    <w:uiPriority w:val="99"/>
    <w:unhideWhenUsed/>
    <w:rPr>
      <w:vertAlign w:val="superscript"/>
    </w:rPr>
  </w:style>
  <w:style w:type="character" w:styleId="Hypertextovodkaz">
    <w:name w:val="Hyperlink"/>
    <w:qFormat/>
    <w:rPr>
      <w:color w:val="0000FF"/>
      <w:u w:val="single"/>
    </w:rPr>
  </w:style>
  <w:style w:type="character" w:styleId="Siln">
    <w:name w:val="Strong"/>
    <w:uiPriority w:val="22"/>
    <w:qFormat/>
    <w:rPr>
      <w:b/>
      <w:bCs/>
    </w:rPr>
  </w:style>
  <w:style w:type="table" w:styleId="Mkatabulky">
    <w:name w:val="Table Grid"/>
    <w:basedOn w:val="Normlntabul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uiPriority w:val="99"/>
    <w:qFormat/>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Pr>
      <w:rFonts w:ascii="Times New Roman" w:eastAsia="Times New Roman" w:hAnsi="Times New Roman" w:cs="Times New Roman"/>
      <w:sz w:val="24"/>
      <w:szCs w:val="24"/>
      <w:lang w:eastAsia="cs-CZ"/>
    </w:rPr>
  </w:style>
  <w:style w:type="character" w:customStyle="1" w:styleId="NzevChar">
    <w:name w:val="Název Char"/>
    <w:basedOn w:val="Standardnpsmoodstavce"/>
    <w:link w:val="Nzev"/>
    <w:uiPriority w:val="10"/>
    <w:rPr>
      <w:rFonts w:asciiTheme="majorHAnsi" w:eastAsiaTheme="majorEastAsia" w:hAnsiTheme="majorHAnsi" w:cstheme="majorBidi"/>
      <w:color w:val="17365D" w:themeColor="text2" w:themeShade="BF"/>
      <w:spacing w:val="5"/>
      <w:kern w:val="28"/>
      <w:sz w:val="52"/>
      <w:szCs w:val="52"/>
      <w:lang w:eastAsia="cs-CZ"/>
    </w:rPr>
  </w:style>
  <w:style w:type="character" w:customStyle="1" w:styleId="TextbublinyChar">
    <w:name w:val="Text bubliny Char"/>
    <w:basedOn w:val="Standardnpsmoodstavce"/>
    <w:link w:val="Textbubliny"/>
    <w:uiPriority w:val="99"/>
    <w:semiHidden/>
    <w:rPr>
      <w:rFonts w:ascii="Tahoma" w:eastAsia="Times New Roman" w:hAnsi="Tahoma" w:cs="Tahoma"/>
      <w:sz w:val="16"/>
      <w:szCs w:val="16"/>
      <w:lang w:eastAsia="cs-CZ"/>
    </w:rPr>
  </w:style>
  <w:style w:type="paragraph" w:styleId="Odstavecseseznamem">
    <w:name w:val="List Paragraph"/>
    <w:basedOn w:val="Normln"/>
    <w:uiPriority w:val="34"/>
    <w:qFormat/>
    <w:pPr>
      <w:ind w:left="720"/>
      <w:contextualSpacing/>
    </w:pPr>
  </w:style>
  <w:style w:type="character" w:customStyle="1" w:styleId="Nadpis2Char">
    <w:name w:val="Nadpis 2 Char"/>
    <w:basedOn w:val="Standardnpsmoodstavce"/>
    <w:link w:val="Nadpis2"/>
    <w:uiPriority w:val="9"/>
    <w:qFormat/>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qFormat/>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pPr>
      <w:spacing w:after="160" w:line="240" w:lineRule="exact"/>
    </w:pPr>
    <w:rPr>
      <w:rFonts w:ascii="Tahoma" w:hAnsi="Tahoma"/>
      <w:sz w:val="20"/>
      <w:szCs w:val="20"/>
      <w:lang w:val="en-US" w:eastAsia="en-US"/>
    </w:rPr>
  </w:style>
  <w:style w:type="character" w:customStyle="1" w:styleId="TextkomenteChar">
    <w:name w:val="Text komentáře Char"/>
    <w:basedOn w:val="Standardnpsmoodstavce"/>
    <w:link w:val="Textkomente"/>
    <w:uiPriority w:val="99"/>
    <w:semiHidden/>
    <w:qFormat/>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rPr>
      <w:rFonts w:ascii="Times New Roman" w:eastAsia="Times New Roman" w:hAnsi="Times New Roman" w:cs="Times New Roman"/>
      <w:b/>
      <w:bCs/>
      <w:sz w:val="20"/>
      <w:szCs w:val="20"/>
      <w:lang w:eastAsia="cs-CZ"/>
    </w:rPr>
  </w:style>
  <w:style w:type="character" w:customStyle="1" w:styleId="TextpoznpodarouChar">
    <w:name w:val="Text pozn. pod čarou Char"/>
    <w:basedOn w:val="Standardnpsmoodstavce"/>
    <w:link w:val="Textpoznpodarou"/>
    <w:uiPriority w:val="99"/>
    <w:qFormat/>
    <w:rPr>
      <w:rFonts w:ascii="Cambria" w:eastAsiaTheme="minorEastAsia" w:hAnsi="Cambria" w:cs="Times New Roman"/>
      <w:i/>
      <w:sz w:val="20"/>
      <w:szCs w:val="20"/>
      <w:lang w:eastAsia="cs-CZ"/>
    </w:rPr>
  </w:style>
  <w:style w:type="character" w:customStyle="1" w:styleId="Zkladntext2Char">
    <w:name w:val="Základní text 2 Char"/>
    <w:basedOn w:val="Standardnpsmoodstavce"/>
    <w:link w:val="Zkladntext2"/>
    <w:qFormat/>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pPr>
      <w:spacing w:after="160" w:line="240" w:lineRule="exact"/>
    </w:pPr>
    <w:rPr>
      <w:rFonts w:ascii="Tahoma" w:hAnsi="Tahoma"/>
      <w:sz w:val="20"/>
      <w:szCs w:val="20"/>
      <w:lang w:val="en-US" w:eastAsia="en-US"/>
    </w:rPr>
  </w:style>
  <w:style w:type="paragraph" w:customStyle="1" w:styleId="Odstavecseseznamem1">
    <w:name w:val="Odstavec se seznamem1"/>
    <w:basedOn w:val="Normln"/>
    <w:qFormat/>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pPr>
      <w:spacing w:after="160" w:line="240" w:lineRule="exact"/>
    </w:pPr>
    <w:rPr>
      <w:rFonts w:ascii="Tahoma" w:hAnsi="Tahoma"/>
      <w:sz w:val="20"/>
      <w:szCs w:val="20"/>
      <w:lang w:val="en-US" w:eastAsia="en-US"/>
    </w:rPr>
  </w:style>
  <w:style w:type="paragraph" w:customStyle="1" w:styleId="StylI">
    <w:name w:val="Styl I."/>
    <w:basedOn w:val="Odstavecseseznamem"/>
    <w:link w:val="StylIChar"/>
    <w:qFormat/>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Pr>
      <w:rFonts w:ascii="Arial" w:eastAsia="Calibri" w:hAnsi="Arial" w:cs="Arial"/>
    </w:rPr>
  </w:style>
  <w:style w:type="paragraph" w:customStyle="1" w:styleId="Stylaa">
    <w:name w:val="Styl aa)"/>
    <w:basedOn w:val="Odstavecseseznamem"/>
    <w:qFormat/>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pPr>
      <w:numPr>
        <w:ilvl w:val="2"/>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Usneseni-zedne">
    <w:name w:val="Usneseni - ze dne...... č...."/>
    <w:basedOn w:val="Normln"/>
    <w:pPr>
      <w:jc w:val="center"/>
    </w:pPr>
    <w:rPr>
      <w:rFonts w:ascii="Arial" w:hAnsi="Arial"/>
      <w:sz w:val="22"/>
      <w:szCs w:val="20"/>
    </w:rPr>
  </w:style>
  <w:style w:type="character" w:customStyle="1" w:styleId="ZkladntextChar">
    <w:name w:val="Základní text Char"/>
    <w:basedOn w:val="Standardnpsmoodstavce"/>
    <w:link w:val="Zkladntext"/>
    <w:qFormat/>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pPr>
      <w:overflowPunct w:val="0"/>
      <w:autoSpaceDE w:val="0"/>
      <w:autoSpaceDN w:val="0"/>
      <w:adjustRightInd w:val="0"/>
      <w:jc w:val="center"/>
      <w:textAlignment w:val="baseline"/>
    </w:pPr>
    <w:rPr>
      <w:rFonts w:ascii="Arial" w:hAnsi="Arial" w:cs="Arial"/>
      <w:b/>
      <w:sz w:val="22"/>
    </w:rPr>
  </w:style>
  <w:style w:type="character" w:customStyle="1" w:styleId="Styl1-NzevmateriluChar">
    <w:name w:val="Styl1 - Název materiálu Char"/>
    <w:link w:val="Styl1-Nzevmaterilu"/>
    <w:qFormat/>
    <w:rPr>
      <w:rFonts w:ascii="Arial" w:eastAsia="Times New Roman" w:hAnsi="Arial" w:cs="Arial"/>
      <w:b/>
      <w:szCs w:val="24"/>
      <w:lang w:eastAsia="cs-CZ"/>
    </w:rPr>
  </w:style>
  <w:style w:type="character" w:customStyle="1" w:styleId="Nadpis1Char">
    <w:name w:val="Nadpis 1 Char"/>
    <w:basedOn w:val="Standardnpsmoodstavce"/>
    <w:link w:val="Nadpis1"/>
    <w:uiPriority w:val="9"/>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i-art">
    <w:name w:val="ti-art"/>
    <w:basedOn w:val="Normln"/>
    <w:pPr>
      <w:spacing w:before="100" w:beforeAutospacing="1" w:after="100" w:afterAutospacing="1"/>
    </w:pPr>
  </w:style>
  <w:style w:type="paragraph" w:customStyle="1" w:styleId="Bullet1">
    <w:name w:val="Bullet 1"/>
    <w:basedOn w:val="Normln"/>
    <w:link w:val="Bullet1Char"/>
    <w:uiPriority w:val="99"/>
    <w:qFormat/>
    <w:pPr>
      <w:numPr>
        <w:numId w:val="2"/>
      </w:numPr>
      <w:spacing w:before="120" w:after="120"/>
    </w:pPr>
    <w:rPr>
      <w:rFonts w:ascii="Arial" w:hAnsi="Arial"/>
      <w:sz w:val="22"/>
    </w:rPr>
  </w:style>
  <w:style w:type="paragraph" w:customStyle="1" w:styleId="Odrka1">
    <w:name w:val="Odrážka 1"/>
    <w:basedOn w:val="Bullet1"/>
    <w:link w:val="Odrka1Char"/>
    <w:qFormat/>
  </w:style>
  <w:style w:type="character" w:customStyle="1" w:styleId="Odrka1Char">
    <w:name w:val="Odrážka 1 Char"/>
    <w:basedOn w:val="Standardnpsmoodstavce"/>
    <w:link w:val="Odrka1"/>
    <w:rPr>
      <w:rFonts w:ascii="Arial" w:eastAsia="Times New Roman" w:hAnsi="Arial" w:cs="Times New Roman"/>
      <w:szCs w:val="24"/>
      <w:lang w:eastAsia="cs-CZ"/>
    </w:rPr>
  </w:style>
  <w:style w:type="character" w:customStyle="1" w:styleId="Nadpis3Char">
    <w:name w:val="Nadpis 3 Char"/>
    <w:basedOn w:val="Standardnpsmoodstavce"/>
    <w:link w:val="Nadpis3"/>
    <w:uiPriority w:val="9"/>
    <w:semiHidden/>
    <w:qFormat/>
    <w:rPr>
      <w:rFonts w:asciiTheme="majorHAnsi" w:eastAsiaTheme="majorEastAsia" w:hAnsiTheme="majorHAnsi" w:cstheme="majorBidi"/>
      <w:b/>
      <w:bCs/>
      <w:color w:val="4F81BD" w:themeColor="accent1"/>
      <w:sz w:val="24"/>
      <w:szCs w:val="24"/>
      <w:lang w:eastAsia="cs-CZ"/>
    </w:rPr>
  </w:style>
  <w:style w:type="character" w:customStyle="1" w:styleId="Bullet1Char">
    <w:name w:val="Bullet 1 Char"/>
    <w:basedOn w:val="Standardnpsmoodstavce"/>
    <w:link w:val="Bullet1"/>
    <w:uiPriority w:val="99"/>
    <w:qFormat/>
    <w:rPr>
      <w:rFonts w:ascii="Arial" w:eastAsia="Times New Roman" w:hAnsi="Arial" w:cs="Times New Roman"/>
      <w:szCs w:val="24"/>
      <w:lang w:eastAsia="cs-CZ"/>
    </w:rPr>
  </w:style>
  <w:style w:type="paragraph" w:customStyle="1" w:styleId="Normln10">
    <w:name w:val="Normální 10"/>
    <w:link w:val="Normln10Char"/>
    <w:uiPriority w:val="99"/>
    <w:qFormat/>
    <w:pPr>
      <w:suppressAutoHyphens/>
      <w:spacing w:before="100" w:after="0"/>
      <w:jc w:val="both"/>
    </w:pPr>
    <w:rPr>
      <w:rFonts w:ascii="Arial" w:eastAsia="Times New Roman" w:hAnsi="Arial" w:cs="Times New Roman"/>
    </w:rPr>
  </w:style>
  <w:style w:type="character" w:customStyle="1" w:styleId="Normln10Char">
    <w:name w:val="Normální 10 Char"/>
    <w:link w:val="Normln10"/>
    <w:uiPriority w:val="99"/>
    <w:qFormat/>
    <w:locked/>
    <w:rPr>
      <w:rFonts w:ascii="Arial" w:eastAsia="Times New Roman" w:hAnsi="Arial" w:cs="Times New Roman"/>
      <w:sz w:val="20"/>
      <w:szCs w:val="20"/>
      <w:lang w:eastAsia="cs-CZ"/>
    </w:rPr>
  </w:style>
  <w:style w:type="character" w:customStyle="1" w:styleId="xsptextcomputedfield">
    <w:name w:val="xsptextcomputedfield"/>
    <w:basedOn w:val="Standardnpsmoodstavce"/>
    <w:qFormat/>
  </w:style>
  <w:style w:type="paragraph" w:customStyle="1" w:styleId="Text">
    <w:name w:val="_Text"/>
    <w:basedOn w:val="Normln"/>
    <w:qFormat/>
    <w:pPr>
      <w:spacing w:after="120" w:line="276" w:lineRule="auto"/>
      <w:jc w:val="both"/>
    </w:pPr>
    <w:rPr>
      <w:rFonts w:ascii="Arial" w:eastAsiaTheme="minorHAnsi" w:hAnsi="Arial" w:cs="Arial"/>
      <w:sz w:val="22"/>
      <w:lang w:eastAsia="en-US"/>
    </w:rPr>
  </w:style>
  <w:style w:type="character" w:customStyle="1" w:styleId="Nadpis5Char">
    <w:name w:val="Nadpis 5 Char"/>
    <w:basedOn w:val="Standardnpsmoodstavce"/>
    <w:link w:val="Nadpis5"/>
    <w:uiPriority w:val="9"/>
    <w:semiHidden/>
    <w:qFormat/>
    <w:rPr>
      <w:rFonts w:asciiTheme="majorHAnsi" w:eastAsiaTheme="majorEastAsia" w:hAnsiTheme="majorHAnsi" w:cstheme="majorBidi"/>
      <w:color w:val="244061" w:themeColor="accent1" w:themeShade="8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8B264F-7817-4E2A-9A41-B8DA4EB04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849</Words>
  <Characters>5012</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5850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9</cp:revision>
  <cp:lastPrinted>2020-06-25T07:32:00Z</cp:lastPrinted>
  <dcterms:created xsi:type="dcterms:W3CDTF">2020-06-08T12:23:00Z</dcterms:created>
  <dcterms:modified xsi:type="dcterms:W3CDTF">2020-06-25T07:32:00Z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